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E859" w14:textId="72646E75" w:rsidR="008B069F" w:rsidRDefault="008B069F" w:rsidP="008B069F">
      <w:pPr>
        <w:jc w:val="center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4AC1D0" wp14:editId="0D30E9FC">
            <wp:simplePos x="0" y="0"/>
            <wp:positionH relativeFrom="margin">
              <wp:posOffset>4286914</wp:posOffset>
            </wp:positionH>
            <wp:positionV relativeFrom="paragraph">
              <wp:posOffset>7089</wp:posOffset>
            </wp:positionV>
            <wp:extent cx="1520825" cy="634365"/>
            <wp:effectExtent l="0" t="0" r="0" b="0"/>
            <wp:wrapSquare wrapText="bothSides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730999C" wp14:editId="7EFA9DA1">
            <wp:simplePos x="0" y="0"/>
            <wp:positionH relativeFrom="margin">
              <wp:posOffset>-33522</wp:posOffset>
            </wp:positionH>
            <wp:positionV relativeFrom="paragraph">
              <wp:posOffset>7478</wp:posOffset>
            </wp:positionV>
            <wp:extent cx="1486535" cy="581025"/>
            <wp:effectExtent l="0" t="0" r="0" b="9525"/>
            <wp:wrapSquare wrapText="bothSides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D305DB" w14:textId="4A6BDFA8" w:rsidR="008B069F" w:rsidRDefault="008B069F" w:rsidP="008B069F">
      <w:pPr>
        <w:jc w:val="center"/>
        <w:rPr>
          <w:b/>
          <w:bCs/>
          <w:sz w:val="18"/>
          <w:szCs w:val="18"/>
        </w:rPr>
      </w:pPr>
    </w:p>
    <w:p w14:paraId="4CB96C94" w14:textId="03668D0E" w:rsidR="008B069F" w:rsidRDefault="008B069F" w:rsidP="008B069F">
      <w:pPr>
        <w:jc w:val="both"/>
        <w:rPr>
          <w:b/>
          <w:bCs/>
          <w:sz w:val="18"/>
          <w:szCs w:val="18"/>
        </w:rPr>
      </w:pPr>
    </w:p>
    <w:p w14:paraId="35514EEF" w14:textId="11AB4435" w:rsidR="008B069F" w:rsidRPr="008B069F" w:rsidRDefault="008B069F" w:rsidP="008B069F">
      <w:pPr>
        <w:spacing w:after="0"/>
        <w:jc w:val="both"/>
        <w:rPr>
          <w:b/>
          <w:bCs/>
          <w:sz w:val="32"/>
          <w:szCs w:val="32"/>
        </w:rPr>
      </w:pPr>
      <w:r w:rsidRPr="008B069F">
        <w:rPr>
          <w:b/>
          <w:bCs/>
          <w:sz w:val="18"/>
          <w:szCs w:val="18"/>
        </w:rPr>
        <w:t>Prof. Dr. R. Verena Taudte</w:t>
      </w:r>
      <w:r w:rsidRPr="008B069F">
        <w:rPr>
          <w:b/>
          <w:bCs/>
          <w:sz w:val="18"/>
          <w:szCs w:val="18"/>
        </w:rPr>
        <w:tab/>
      </w:r>
      <w:r w:rsidRPr="008B069F">
        <w:rPr>
          <w:b/>
          <w:bCs/>
          <w:sz w:val="18"/>
          <w:szCs w:val="18"/>
        </w:rPr>
        <w:tab/>
      </w:r>
    </w:p>
    <w:p w14:paraId="562DF10B" w14:textId="36FE4AB9" w:rsidR="008B069F" w:rsidRDefault="005C6B1B" w:rsidP="008B069F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Tel. </w:t>
      </w:r>
      <w:r w:rsidR="008B069F">
        <w:rPr>
          <w:sz w:val="18"/>
          <w:szCs w:val="18"/>
          <w:lang w:val="en-GB"/>
        </w:rPr>
        <w:t>+49 64210 58-66953</w:t>
      </w:r>
    </w:p>
    <w:p w14:paraId="5F34F9E9" w14:textId="391EF106" w:rsidR="008B069F" w:rsidRDefault="008B069F" w:rsidP="008B069F">
      <w:pPr>
        <w:spacing w:after="0" w:line="240" w:lineRule="auto"/>
        <w:rPr>
          <w:b/>
          <w:bCs/>
          <w:sz w:val="18"/>
          <w:szCs w:val="18"/>
          <w:lang w:val="en-GB"/>
        </w:rPr>
      </w:pPr>
      <w:r w:rsidRPr="008B069F">
        <w:rPr>
          <w:b/>
          <w:bCs/>
          <w:sz w:val="18"/>
          <w:szCs w:val="18"/>
          <w:lang w:val="en-GB"/>
        </w:rPr>
        <w:t xml:space="preserve">PD </w:t>
      </w:r>
      <w:proofErr w:type="spellStart"/>
      <w:r w:rsidRPr="008B069F">
        <w:rPr>
          <w:b/>
          <w:bCs/>
          <w:sz w:val="18"/>
          <w:szCs w:val="18"/>
          <w:lang w:val="en-GB"/>
        </w:rPr>
        <w:t>Dr.</w:t>
      </w:r>
      <w:proofErr w:type="spellEnd"/>
      <w:r w:rsidRPr="008B069F">
        <w:rPr>
          <w:b/>
          <w:bCs/>
          <w:sz w:val="18"/>
          <w:szCs w:val="18"/>
          <w:lang w:val="en-GB"/>
        </w:rPr>
        <w:t xml:space="preserve"> Andreas </w:t>
      </w:r>
      <w:proofErr w:type="spellStart"/>
      <w:r w:rsidRPr="008B069F">
        <w:rPr>
          <w:b/>
          <w:bCs/>
          <w:sz w:val="18"/>
          <w:szCs w:val="18"/>
          <w:lang w:val="en-GB"/>
        </w:rPr>
        <w:t>Nockher</w:t>
      </w:r>
      <w:proofErr w:type="spellEnd"/>
    </w:p>
    <w:p w14:paraId="731135DD" w14:textId="75931C77" w:rsidR="008B069F" w:rsidRPr="008B069F" w:rsidRDefault="005C6B1B" w:rsidP="008B069F">
      <w:pPr>
        <w:spacing w:after="0" w:line="240" w:lineRule="auto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Tel. </w:t>
      </w:r>
      <w:r w:rsidR="008B069F" w:rsidRPr="008B069F">
        <w:rPr>
          <w:sz w:val="18"/>
          <w:szCs w:val="18"/>
          <w:lang w:val="en-GB"/>
        </w:rPr>
        <w:t>+49 6421 58-66235</w:t>
      </w:r>
    </w:p>
    <w:p w14:paraId="0924555B" w14:textId="77777777" w:rsidR="008B069F" w:rsidRPr="00C415C4" w:rsidRDefault="008B069F" w:rsidP="008B069F">
      <w:pPr>
        <w:jc w:val="center"/>
        <w:rPr>
          <w:b/>
          <w:bCs/>
          <w:sz w:val="32"/>
          <w:szCs w:val="32"/>
        </w:rPr>
      </w:pPr>
      <w:r w:rsidRPr="00C415C4">
        <w:rPr>
          <w:b/>
          <w:bCs/>
          <w:sz w:val="32"/>
          <w:szCs w:val="32"/>
        </w:rPr>
        <w:t>Nutzungsordnung</w:t>
      </w:r>
      <w:r w:rsidRPr="008B069F">
        <w:rPr>
          <w:noProof/>
        </w:rPr>
        <w:t xml:space="preserve"> </w:t>
      </w:r>
    </w:p>
    <w:p w14:paraId="479D5BFE" w14:textId="50F7C46E" w:rsidR="00C415C4" w:rsidRPr="008B069F" w:rsidRDefault="00C415C4" w:rsidP="00C415C4">
      <w:pPr>
        <w:jc w:val="center"/>
        <w:rPr>
          <w:b/>
          <w:bCs/>
          <w:sz w:val="32"/>
          <w:szCs w:val="32"/>
        </w:rPr>
      </w:pPr>
      <w:r w:rsidRPr="008B069F">
        <w:rPr>
          <w:b/>
          <w:bCs/>
          <w:sz w:val="32"/>
          <w:szCs w:val="32"/>
        </w:rPr>
        <w:t xml:space="preserve">Core Facility für </w:t>
      </w:r>
      <w:proofErr w:type="spellStart"/>
      <w:r w:rsidRPr="008B069F">
        <w:rPr>
          <w:b/>
          <w:bCs/>
          <w:sz w:val="32"/>
          <w:szCs w:val="32"/>
        </w:rPr>
        <w:t>Metabolomics</w:t>
      </w:r>
      <w:proofErr w:type="spellEnd"/>
    </w:p>
    <w:p w14:paraId="2C6153C7" w14:textId="3F244CC7" w:rsidR="007C28CC" w:rsidRPr="008B069F" w:rsidRDefault="007C28CC" w:rsidP="007C28CC">
      <w:pPr>
        <w:rPr>
          <w:b/>
          <w:bCs/>
        </w:rPr>
      </w:pPr>
      <w:r w:rsidRPr="008B069F">
        <w:rPr>
          <w:b/>
          <w:bCs/>
        </w:rPr>
        <w:t>Präambel</w:t>
      </w:r>
    </w:p>
    <w:p w14:paraId="2CD7D169" w14:textId="4CCBAD5E" w:rsidR="007C28CC" w:rsidRDefault="007C28CC" w:rsidP="005C6B1B">
      <w:r>
        <w:t xml:space="preserve">Die Core Facility </w:t>
      </w:r>
      <w:proofErr w:type="spellStart"/>
      <w:r w:rsidR="00C52D16">
        <w:t>Metabolomics</w:t>
      </w:r>
      <w:proofErr w:type="spellEnd"/>
      <w:r>
        <w:t xml:space="preserve"> ist eine zentrale Forschungsinfrastruktur de</w:t>
      </w:r>
      <w:r w:rsidR="00C52D16">
        <w:t>s Fachbereichs Medizin der Philipps-</w:t>
      </w:r>
      <w:r>
        <w:t>Universität</w:t>
      </w:r>
      <w:r w:rsidR="00C52D16">
        <w:t xml:space="preserve"> Marburg</w:t>
      </w:r>
      <w:r>
        <w:t xml:space="preserve">, die Zugang zu modernsten </w:t>
      </w:r>
      <w:proofErr w:type="spellStart"/>
      <w:r w:rsidR="00C52D16">
        <w:t>metabolomischen</w:t>
      </w:r>
      <w:proofErr w:type="spellEnd"/>
      <w:r w:rsidR="00C52D16">
        <w:t xml:space="preserve"> Techniken inklusive Massenspektrometrie und </w:t>
      </w:r>
      <w:proofErr w:type="spellStart"/>
      <w:r w:rsidR="00C52D16">
        <w:t>Seahorse</w:t>
      </w:r>
      <w:proofErr w:type="spellEnd"/>
      <w:r>
        <w:t xml:space="preserve"> und damit verbundenen Dienstleistungen für Wissenschaftler</w:t>
      </w:r>
      <w:r w:rsidR="005C6B1B">
        <w:t>-</w:t>
      </w:r>
      <w:r>
        <w:t>*innen ermöglicht. Diese Nutzungsordnung regelt die grundsätzlichen Bestimmungen für den Betrieb und die Nutzung der Core Facility.</w:t>
      </w:r>
    </w:p>
    <w:p w14:paraId="32015A5A" w14:textId="77777777" w:rsidR="008D6120" w:rsidRPr="00C52D16" w:rsidRDefault="008D6120" w:rsidP="005C6B1B">
      <w:pPr>
        <w:rPr>
          <w:b/>
          <w:bCs/>
        </w:rPr>
      </w:pPr>
      <w:r w:rsidRPr="00C52D16">
        <w:rPr>
          <w:b/>
          <w:bCs/>
        </w:rPr>
        <w:t>Leitung und Organisation</w:t>
      </w:r>
    </w:p>
    <w:p w14:paraId="78F4004A" w14:textId="77777777" w:rsidR="008D6120" w:rsidRDefault="008D6120" w:rsidP="005C6B1B">
      <w:r>
        <w:t>Die Core Facility wird von einer wissenschaftlichen Leitung geführt, die für den gesamten Betriebsablauf, die sachgemäße Erledigung der Aufgaben und die Weiterentwicklung der Einrichtung verantwortlich ist.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2830"/>
      </w:tblGrid>
      <w:tr w:rsidR="008D6120" w14:paraId="4259E039" w14:textId="77777777" w:rsidTr="00345E71">
        <w:tc>
          <w:tcPr>
            <w:tcW w:w="3114" w:type="dxa"/>
          </w:tcPr>
          <w:p w14:paraId="43BC0FAB" w14:textId="77777777" w:rsidR="008D6120" w:rsidRPr="0012586F" w:rsidRDefault="008D6120" w:rsidP="00345E71">
            <w:pPr>
              <w:pStyle w:val="Listenabsatz"/>
              <w:rPr>
                <w:b/>
                <w:bCs/>
              </w:rPr>
            </w:pPr>
            <w:r w:rsidRPr="0012586F">
              <w:rPr>
                <w:b/>
                <w:bCs/>
              </w:rPr>
              <w:t>Leitung</w:t>
            </w:r>
          </w:p>
          <w:p w14:paraId="20B1E578" w14:textId="77777777" w:rsidR="008D6120" w:rsidRPr="0012586F" w:rsidRDefault="008D6120" w:rsidP="00345E71">
            <w:pPr>
              <w:pStyle w:val="Listenabsatz"/>
              <w:ind w:left="0"/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>Prof. Dr. R. Verena Taudte</w:t>
            </w:r>
          </w:p>
          <w:p w14:paraId="63BCF7F8" w14:textId="77777777" w:rsidR="008D6120" w:rsidRPr="0012586F" w:rsidRDefault="008D6120" w:rsidP="00345E71">
            <w:pPr>
              <w:pStyle w:val="Listenabsatz"/>
              <w:ind w:left="0"/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>Hans-Meerwein-Str. 3</w:t>
            </w:r>
          </w:p>
          <w:p w14:paraId="6381DAF4" w14:textId="77777777" w:rsidR="008D6120" w:rsidRPr="0012586F" w:rsidRDefault="008D6120" w:rsidP="00345E71">
            <w:pPr>
              <w:pStyle w:val="Listenabsatz"/>
              <w:ind w:left="0"/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>Tel.: 58-66953</w:t>
            </w:r>
          </w:p>
          <w:p w14:paraId="73C2D988" w14:textId="77777777" w:rsidR="008D6120" w:rsidRDefault="005C6B1B" w:rsidP="00345E71">
            <w:pPr>
              <w:pStyle w:val="Listenabsatz"/>
              <w:ind w:left="0"/>
              <w:rPr>
                <w:sz w:val="20"/>
                <w:szCs w:val="20"/>
              </w:rPr>
            </w:pPr>
            <w:hyperlink r:id="rId9" w:history="1">
              <w:r w:rsidR="008D6120" w:rsidRPr="0012586F">
                <w:rPr>
                  <w:rStyle w:val="Hyperlink"/>
                  <w:sz w:val="20"/>
                  <w:szCs w:val="20"/>
                </w:rPr>
                <w:t>verena.taudte@uni-marburg.de</w:t>
              </w:r>
            </w:hyperlink>
          </w:p>
          <w:p w14:paraId="10CD458F" w14:textId="77777777" w:rsidR="005A078D" w:rsidRDefault="005A078D" w:rsidP="00345E71">
            <w:pPr>
              <w:pStyle w:val="Listenabsatz"/>
              <w:ind w:left="0"/>
              <w:rPr>
                <w:sz w:val="20"/>
                <w:szCs w:val="20"/>
              </w:rPr>
            </w:pPr>
          </w:p>
          <w:p w14:paraId="42986D5C" w14:textId="77777777" w:rsidR="005A078D" w:rsidRPr="0012586F" w:rsidRDefault="005A078D" w:rsidP="005A078D">
            <w:pPr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 xml:space="preserve">PD. Dr. Andreas </w:t>
            </w:r>
            <w:proofErr w:type="spellStart"/>
            <w:r w:rsidRPr="0012586F">
              <w:rPr>
                <w:sz w:val="20"/>
                <w:szCs w:val="20"/>
              </w:rPr>
              <w:t>Nockher</w:t>
            </w:r>
            <w:proofErr w:type="spellEnd"/>
          </w:p>
          <w:p w14:paraId="6CA849E5" w14:textId="77777777" w:rsidR="005A078D" w:rsidRPr="0012586F" w:rsidRDefault="005A078D" w:rsidP="005A078D">
            <w:pPr>
              <w:rPr>
                <w:sz w:val="20"/>
                <w:szCs w:val="20"/>
              </w:rPr>
            </w:pPr>
            <w:proofErr w:type="spellStart"/>
            <w:r w:rsidRPr="0012586F">
              <w:rPr>
                <w:sz w:val="20"/>
                <w:szCs w:val="20"/>
              </w:rPr>
              <w:t>Baldingerstraße</w:t>
            </w:r>
            <w:proofErr w:type="spellEnd"/>
          </w:p>
          <w:p w14:paraId="2AAA08D1" w14:textId="77777777" w:rsidR="00600C86" w:rsidRDefault="005A078D" w:rsidP="005A078D">
            <w:pPr>
              <w:pStyle w:val="Listenabsatz"/>
              <w:ind w:left="0"/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>Tel.: 58-</w:t>
            </w:r>
            <w:r w:rsidR="00600C86">
              <w:t xml:space="preserve"> </w:t>
            </w:r>
            <w:r w:rsidR="00600C86" w:rsidRPr="00600C86">
              <w:rPr>
                <w:sz w:val="20"/>
                <w:szCs w:val="20"/>
              </w:rPr>
              <w:t>66265</w:t>
            </w:r>
          </w:p>
          <w:p w14:paraId="07B9B822" w14:textId="66E99946" w:rsidR="005A078D" w:rsidRPr="0012586F" w:rsidRDefault="005C6B1B" w:rsidP="005A078D">
            <w:pPr>
              <w:pStyle w:val="Listenabsatz"/>
              <w:ind w:left="0"/>
              <w:rPr>
                <w:sz w:val="20"/>
                <w:szCs w:val="20"/>
              </w:rPr>
            </w:pPr>
            <w:hyperlink r:id="rId10" w:history="1">
              <w:r w:rsidR="005A078D" w:rsidRPr="0012586F">
                <w:rPr>
                  <w:rStyle w:val="Hyperlink"/>
                  <w:sz w:val="20"/>
                  <w:szCs w:val="20"/>
                </w:rPr>
                <w:t>nockher@staff.uni-marburg.de</w:t>
              </w:r>
            </w:hyperlink>
          </w:p>
        </w:tc>
        <w:tc>
          <w:tcPr>
            <w:tcW w:w="3118" w:type="dxa"/>
          </w:tcPr>
          <w:p w14:paraId="7AD99CA2" w14:textId="5BBB9D53" w:rsidR="008D6120" w:rsidRPr="0012586F" w:rsidRDefault="005A078D" w:rsidP="00345E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Wissenschaftliches Personal</w:t>
            </w:r>
          </w:p>
          <w:p w14:paraId="095ADA1B" w14:textId="7DBD0B22" w:rsidR="008D6120" w:rsidRPr="0012586F" w:rsidRDefault="008D6120" w:rsidP="00345E71">
            <w:pPr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 xml:space="preserve">Dr. </w:t>
            </w:r>
            <w:r w:rsidR="005A078D">
              <w:rPr>
                <w:sz w:val="20"/>
                <w:szCs w:val="20"/>
              </w:rPr>
              <w:t>Jelena Pesek</w:t>
            </w:r>
            <w:r w:rsidR="0089546B">
              <w:rPr>
                <w:sz w:val="20"/>
                <w:szCs w:val="20"/>
              </w:rPr>
              <w:t xml:space="preserve"> (MS)</w:t>
            </w:r>
          </w:p>
          <w:p w14:paraId="7D6DFCF8" w14:textId="77777777" w:rsidR="008D6120" w:rsidRPr="0012586F" w:rsidRDefault="008D6120" w:rsidP="00345E71">
            <w:pPr>
              <w:rPr>
                <w:sz w:val="20"/>
                <w:szCs w:val="20"/>
              </w:rPr>
            </w:pPr>
            <w:proofErr w:type="spellStart"/>
            <w:r w:rsidRPr="0012586F">
              <w:rPr>
                <w:sz w:val="20"/>
                <w:szCs w:val="20"/>
              </w:rPr>
              <w:t>Baldingerstraße</w:t>
            </w:r>
            <w:proofErr w:type="spellEnd"/>
          </w:p>
          <w:p w14:paraId="7F8EBB03" w14:textId="2F70FE48" w:rsidR="008D6120" w:rsidRPr="0012586F" w:rsidRDefault="008D6120" w:rsidP="00345E71">
            <w:pPr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 xml:space="preserve">Tel.: </w:t>
            </w:r>
            <w:r w:rsidR="00600C86" w:rsidRPr="00600C86">
              <w:rPr>
                <w:sz w:val="20"/>
                <w:szCs w:val="20"/>
              </w:rPr>
              <w:t>58-64096</w:t>
            </w:r>
          </w:p>
          <w:p w14:paraId="21A96B49" w14:textId="40AA656B" w:rsidR="008D6120" w:rsidRPr="0012586F" w:rsidRDefault="005C6B1B" w:rsidP="00345E71">
            <w:pPr>
              <w:rPr>
                <w:sz w:val="20"/>
                <w:szCs w:val="20"/>
              </w:rPr>
            </w:pPr>
            <w:hyperlink r:id="rId11" w:history="1">
              <w:r w:rsidRPr="009425ED">
                <w:rPr>
                  <w:rStyle w:val="Hyperlink"/>
                  <w:sz w:val="20"/>
                  <w:szCs w:val="20"/>
                </w:rPr>
                <w:t>jelena.pesek@uni-marburg.de</w:t>
              </w:r>
            </w:hyperlink>
          </w:p>
        </w:tc>
        <w:tc>
          <w:tcPr>
            <w:tcW w:w="2830" w:type="dxa"/>
          </w:tcPr>
          <w:p w14:paraId="7B859978" w14:textId="77777777" w:rsidR="008D6120" w:rsidRPr="0012586F" w:rsidRDefault="008D6120" w:rsidP="00345E71">
            <w:pPr>
              <w:jc w:val="center"/>
              <w:rPr>
                <w:b/>
                <w:bCs/>
              </w:rPr>
            </w:pPr>
            <w:r w:rsidRPr="0012586F">
              <w:rPr>
                <w:b/>
                <w:bCs/>
              </w:rPr>
              <w:t>Technisches Personal</w:t>
            </w:r>
          </w:p>
          <w:p w14:paraId="4F5D9B83" w14:textId="54AD6EA6" w:rsidR="008D6120" w:rsidRPr="0012586F" w:rsidRDefault="008D6120" w:rsidP="00345E71">
            <w:pPr>
              <w:jc w:val="both"/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 xml:space="preserve">Merle </w:t>
            </w:r>
            <w:proofErr w:type="spellStart"/>
            <w:r w:rsidRPr="0012586F">
              <w:rPr>
                <w:sz w:val="20"/>
                <w:szCs w:val="20"/>
              </w:rPr>
              <w:t>Horrelt</w:t>
            </w:r>
            <w:proofErr w:type="spellEnd"/>
            <w:r w:rsidR="0089546B">
              <w:rPr>
                <w:sz w:val="20"/>
                <w:szCs w:val="20"/>
              </w:rPr>
              <w:t xml:space="preserve"> (</w:t>
            </w:r>
            <w:proofErr w:type="spellStart"/>
            <w:r w:rsidR="0089546B">
              <w:rPr>
                <w:sz w:val="20"/>
                <w:szCs w:val="20"/>
              </w:rPr>
              <w:t>Seahorse</w:t>
            </w:r>
            <w:proofErr w:type="spellEnd"/>
            <w:r w:rsidR="0089546B">
              <w:rPr>
                <w:sz w:val="20"/>
                <w:szCs w:val="20"/>
              </w:rPr>
              <w:t>)</w:t>
            </w:r>
          </w:p>
          <w:p w14:paraId="5523C170" w14:textId="77777777" w:rsidR="008D6120" w:rsidRPr="0012586F" w:rsidRDefault="008D6120" w:rsidP="00345E71">
            <w:pPr>
              <w:jc w:val="both"/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>Hans-Meerwein-Str. 3</w:t>
            </w:r>
          </w:p>
          <w:p w14:paraId="57C0BF27" w14:textId="77777777" w:rsidR="008D6120" w:rsidRPr="0012586F" w:rsidRDefault="008D6120" w:rsidP="00345E71">
            <w:pPr>
              <w:jc w:val="both"/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>Tel.: 28-66038</w:t>
            </w:r>
          </w:p>
          <w:p w14:paraId="1872105D" w14:textId="77777777" w:rsidR="008D6120" w:rsidRDefault="005C6B1B" w:rsidP="00345E71">
            <w:pPr>
              <w:jc w:val="both"/>
              <w:rPr>
                <w:sz w:val="20"/>
                <w:szCs w:val="20"/>
              </w:rPr>
            </w:pPr>
            <w:hyperlink r:id="rId12" w:history="1">
              <w:r w:rsidR="008D6120" w:rsidRPr="0012586F">
                <w:rPr>
                  <w:rStyle w:val="Hyperlink"/>
                  <w:sz w:val="20"/>
                  <w:szCs w:val="20"/>
                </w:rPr>
                <w:t>merle.horrelt@uni-marburg.de</w:t>
              </w:r>
            </w:hyperlink>
          </w:p>
          <w:p w14:paraId="0A61D049" w14:textId="77777777" w:rsidR="008D6120" w:rsidRDefault="008D6120" w:rsidP="00345E71">
            <w:pPr>
              <w:jc w:val="both"/>
              <w:rPr>
                <w:sz w:val="20"/>
                <w:szCs w:val="20"/>
              </w:rPr>
            </w:pPr>
          </w:p>
          <w:p w14:paraId="658035CB" w14:textId="1E87E7BA" w:rsidR="005A078D" w:rsidRPr="0012586F" w:rsidRDefault="005A078D" w:rsidP="005A07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Lena Ludwig-Radtke</w:t>
            </w:r>
            <w:r w:rsidR="0089546B">
              <w:rPr>
                <w:sz w:val="20"/>
                <w:szCs w:val="20"/>
              </w:rPr>
              <w:t xml:space="preserve"> (MS)</w:t>
            </w:r>
          </w:p>
          <w:p w14:paraId="029C8C35" w14:textId="53CD0BC6" w:rsidR="005A078D" w:rsidRPr="0012586F" w:rsidRDefault="005A078D" w:rsidP="005A078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Baldingerstraße</w:t>
            </w:r>
            <w:proofErr w:type="spellEnd"/>
          </w:p>
          <w:p w14:paraId="4ABB9077" w14:textId="0A3C7819" w:rsidR="005A078D" w:rsidRPr="0012586F" w:rsidRDefault="005A078D" w:rsidP="005A078D">
            <w:pPr>
              <w:jc w:val="both"/>
              <w:rPr>
                <w:sz w:val="20"/>
                <w:szCs w:val="20"/>
              </w:rPr>
            </w:pPr>
            <w:r w:rsidRPr="0012586F">
              <w:rPr>
                <w:sz w:val="20"/>
                <w:szCs w:val="20"/>
              </w:rPr>
              <w:t xml:space="preserve">Tel.: </w:t>
            </w:r>
            <w:r w:rsidR="00600C86" w:rsidRPr="00600C86">
              <w:rPr>
                <w:sz w:val="20"/>
                <w:szCs w:val="20"/>
              </w:rPr>
              <w:t>58</w:t>
            </w:r>
            <w:r w:rsidR="00600C86">
              <w:rPr>
                <w:sz w:val="20"/>
                <w:szCs w:val="20"/>
              </w:rPr>
              <w:t>-</w:t>
            </w:r>
            <w:r w:rsidR="00600C86" w:rsidRPr="00600C86">
              <w:rPr>
                <w:sz w:val="20"/>
                <w:szCs w:val="20"/>
              </w:rPr>
              <w:t>67018</w:t>
            </w:r>
          </w:p>
          <w:p w14:paraId="18A1FC74" w14:textId="39330BAE" w:rsidR="005A078D" w:rsidRPr="005A078D" w:rsidRDefault="005C6B1B" w:rsidP="005A078D">
            <w:pPr>
              <w:jc w:val="both"/>
              <w:rPr>
                <w:rStyle w:val="Hyperlink"/>
              </w:rPr>
            </w:pPr>
            <w:hyperlink r:id="rId13" w:history="1">
              <w:r w:rsidR="0089546B" w:rsidRPr="00912F0A">
                <w:rPr>
                  <w:rStyle w:val="Hyperlink"/>
                  <w:sz w:val="20"/>
                  <w:szCs w:val="20"/>
                </w:rPr>
                <w:t>ludwigle@uni-marburg.de</w:t>
              </w:r>
            </w:hyperlink>
          </w:p>
          <w:p w14:paraId="6AEA876A" w14:textId="662A934D" w:rsidR="005A078D" w:rsidRPr="0012586F" w:rsidRDefault="005A078D" w:rsidP="00345E71">
            <w:pPr>
              <w:jc w:val="both"/>
              <w:rPr>
                <w:sz w:val="20"/>
                <w:szCs w:val="20"/>
              </w:rPr>
            </w:pPr>
          </w:p>
        </w:tc>
      </w:tr>
    </w:tbl>
    <w:p w14:paraId="4F3924AD" w14:textId="77777777" w:rsidR="0089546B" w:rsidRDefault="0089546B" w:rsidP="008B069F">
      <w:pPr>
        <w:rPr>
          <w:b/>
          <w:bCs/>
        </w:rPr>
      </w:pPr>
    </w:p>
    <w:p w14:paraId="5347EFED" w14:textId="7781F24B" w:rsidR="008B069F" w:rsidRDefault="007C28CC" w:rsidP="005C6B1B">
      <w:pPr>
        <w:rPr>
          <w:b/>
          <w:bCs/>
        </w:rPr>
      </w:pPr>
      <w:r w:rsidRPr="00C52D16">
        <w:rPr>
          <w:b/>
          <w:bCs/>
        </w:rPr>
        <w:t>Aufgaben und Services</w:t>
      </w:r>
    </w:p>
    <w:p w14:paraId="1F4CC1B6" w14:textId="7302F397" w:rsidR="007C28CC" w:rsidRPr="008B069F" w:rsidRDefault="007C28CC" w:rsidP="005C6B1B">
      <w:pPr>
        <w:rPr>
          <w:b/>
          <w:bCs/>
        </w:rPr>
      </w:pPr>
      <w:r>
        <w:t>Die Core Facility bietet folgende Leistungen an:</w:t>
      </w:r>
    </w:p>
    <w:p w14:paraId="1F01C2EE" w14:textId="77777777" w:rsidR="008D6120" w:rsidRDefault="008D6120" w:rsidP="005C6B1B">
      <w:pPr>
        <w:pStyle w:val="Listenabsatz"/>
        <w:numPr>
          <w:ilvl w:val="0"/>
          <w:numId w:val="1"/>
        </w:numPr>
      </w:pPr>
      <w:r>
        <w:t>Beratung zu experimentellem Design</w:t>
      </w:r>
    </w:p>
    <w:p w14:paraId="5C4BD4D4" w14:textId="77777777" w:rsidR="008D6120" w:rsidRDefault="008D6120" w:rsidP="005C6B1B">
      <w:pPr>
        <w:pStyle w:val="Listenabsatz"/>
        <w:numPr>
          <w:ilvl w:val="0"/>
          <w:numId w:val="1"/>
        </w:numPr>
      </w:pPr>
      <w:r>
        <w:t>Optimierung und Anpassung der vorhandenen Messtechniken für spezifische Fragestellungen der Nutzer (Methodenentwicklung: LC-MS, GC-MS)</w:t>
      </w:r>
    </w:p>
    <w:p w14:paraId="017B9E8A" w14:textId="77777777" w:rsidR="008D6120" w:rsidRDefault="008D6120" w:rsidP="005C6B1B">
      <w:pPr>
        <w:pStyle w:val="Listenabsatz"/>
        <w:numPr>
          <w:ilvl w:val="0"/>
          <w:numId w:val="1"/>
        </w:numPr>
      </w:pPr>
      <w:r>
        <w:t>Probenaufbereitung und -messung</w:t>
      </w:r>
    </w:p>
    <w:p w14:paraId="28D7A36C" w14:textId="4DAEE5E2" w:rsidR="007C28CC" w:rsidRDefault="007C28CC" w:rsidP="005C6B1B">
      <w:pPr>
        <w:pStyle w:val="Listenabsatz"/>
        <w:numPr>
          <w:ilvl w:val="0"/>
          <w:numId w:val="1"/>
        </w:numPr>
      </w:pPr>
      <w:r>
        <w:t>Zugang zu verschiedenen Massenspektrometern</w:t>
      </w:r>
    </w:p>
    <w:p w14:paraId="49B5E32C" w14:textId="1BD86802" w:rsidR="007C28CC" w:rsidRDefault="007C28CC" w:rsidP="005C6B1B">
      <w:pPr>
        <w:pStyle w:val="Listenabsatz"/>
        <w:numPr>
          <w:ilvl w:val="0"/>
          <w:numId w:val="1"/>
        </w:numPr>
      </w:pPr>
      <w:r>
        <w:t xml:space="preserve">Zugang zu einer Agilent </w:t>
      </w:r>
      <w:proofErr w:type="spellStart"/>
      <w:r>
        <w:t>Seahorse</w:t>
      </w:r>
      <w:proofErr w:type="spellEnd"/>
      <w:r>
        <w:t xml:space="preserve"> XF Plattform</w:t>
      </w:r>
    </w:p>
    <w:p w14:paraId="72379D23" w14:textId="6313371D" w:rsidR="008D6120" w:rsidRDefault="008D6120" w:rsidP="005C6B1B">
      <w:pPr>
        <w:pStyle w:val="Listenabsatz"/>
        <w:numPr>
          <w:ilvl w:val="0"/>
          <w:numId w:val="1"/>
        </w:numPr>
      </w:pPr>
      <w:r>
        <w:t>Koordination und terminliche Abstimmung zwischen den Nutzern</w:t>
      </w:r>
    </w:p>
    <w:p w14:paraId="3B20837F" w14:textId="32166895" w:rsidR="008D6120" w:rsidRDefault="008D6120" w:rsidP="005C6B1B">
      <w:pPr>
        <w:pStyle w:val="Listenabsatz"/>
        <w:numPr>
          <w:ilvl w:val="0"/>
          <w:numId w:val="1"/>
        </w:numPr>
      </w:pPr>
      <w:r>
        <w:t>System</w:t>
      </w:r>
      <w:r w:rsidR="005C6B1B">
        <w:t>w</w:t>
      </w:r>
      <w:r>
        <w:t>artung und -</w:t>
      </w:r>
      <w:r w:rsidR="005C6B1B">
        <w:t>e</w:t>
      </w:r>
      <w:r>
        <w:t>rweiterung, Software-Updates</w:t>
      </w:r>
    </w:p>
    <w:p w14:paraId="594A443A" w14:textId="6430B1C3" w:rsidR="007C28CC" w:rsidRDefault="007C28CC" w:rsidP="005C6B1B">
      <w:pPr>
        <w:pStyle w:val="Listenabsatz"/>
        <w:numPr>
          <w:ilvl w:val="0"/>
          <w:numId w:val="1"/>
        </w:numPr>
      </w:pPr>
      <w:r>
        <w:t>Datenanalyse und -auswertung</w:t>
      </w:r>
    </w:p>
    <w:p w14:paraId="1AED0013" w14:textId="77777777" w:rsidR="007C28CC" w:rsidRDefault="007C28CC" w:rsidP="005C6B1B">
      <w:pPr>
        <w:pStyle w:val="Listenabsatz"/>
        <w:numPr>
          <w:ilvl w:val="0"/>
          <w:numId w:val="1"/>
        </w:numPr>
      </w:pPr>
      <w:r>
        <w:t>Schulungen für qualifizierte Nutzer</w:t>
      </w:r>
    </w:p>
    <w:p w14:paraId="61BAF535" w14:textId="63A0A6B6" w:rsidR="0012586F" w:rsidRPr="008D6120" w:rsidRDefault="008D6120" w:rsidP="005C6B1B">
      <w:pPr>
        <w:rPr>
          <w:b/>
          <w:bCs/>
        </w:rPr>
      </w:pPr>
      <w:r w:rsidRPr="008D6120">
        <w:rPr>
          <w:b/>
          <w:bCs/>
        </w:rPr>
        <w:lastRenderedPageBreak/>
        <w:t>Geräte</w:t>
      </w:r>
    </w:p>
    <w:p w14:paraId="195D4C0E" w14:textId="3E31CB2D" w:rsidR="008D6120" w:rsidRDefault="008D6120" w:rsidP="005C6B1B">
      <w:pPr>
        <w:pStyle w:val="Listenabsatz"/>
        <w:numPr>
          <w:ilvl w:val="0"/>
          <w:numId w:val="1"/>
        </w:numPr>
        <w:rPr>
          <w:lang w:val="en-US"/>
        </w:rPr>
      </w:pPr>
      <w:r w:rsidRPr="004B6161">
        <w:rPr>
          <w:lang w:val="en-US"/>
        </w:rPr>
        <w:t>LC</w:t>
      </w:r>
      <w:r>
        <w:rPr>
          <w:lang w:val="en-US"/>
        </w:rPr>
        <w:t xml:space="preserve">-HRMS: Vanquis LC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Orbitrap 480 MS (Thermo Fisher)</w:t>
      </w:r>
    </w:p>
    <w:p w14:paraId="25286F02" w14:textId="421BBEB3" w:rsidR="008D6120" w:rsidRPr="004B6161" w:rsidRDefault="008D6120" w:rsidP="005C6B1B">
      <w:pPr>
        <w:pStyle w:val="Listenabsatz"/>
        <w:numPr>
          <w:ilvl w:val="0"/>
          <w:numId w:val="1"/>
        </w:numPr>
        <w:rPr>
          <w:lang w:val="en-US"/>
        </w:rPr>
      </w:pPr>
      <w:r w:rsidRPr="004B6161">
        <w:rPr>
          <w:lang w:val="en-US"/>
        </w:rPr>
        <w:t xml:space="preserve">LC-HRMS: Time-of-Flight </w:t>
      </w:r>
      <w:proofErr w:type="spellStart"/>
      <w:r w:rsidRPr="004B6161">
        <w:rPr>
          <w:lang w:val="en-US"/>
        </w:rPr>
        <w:t>Massendetektor</w:t>
      </w:r>
      <w:proofErr w:type="spellEnd"/>
      <w:r w:rsidRPr="004B6161">
        <w:rPr>
          <w:lang w:val="en-US"/>
        </w:rPr>
        <w:t xml:space="preserve"> (QTOF-MS; </w:t>
      </w:r>
      <w:proofErr w:type="spellStart"/>
      <w:r w:rsidRPr="004B6161">
        <w:rPr>
          <w:lang w:val="en-US"/>
        </w:rPr>
        <w:t>Sciex</w:t>
      </w:r>
      <w:proofErr w:type="spellEnd"/>
      <w:r w:rsidRPr="004B6161">
        <w:rPr>
          <w:lang w:val="en-US"/>
        </w:rPr>
        <w:t>)</w:t>
      </w:r>
    </w:p>
    <w:p w14:paraId="48953EBE" w14:textId="0BB0191E" w:rsidR="008D6120" w:rsidRDefault="008D6120" w:rsidP="005C6B1B">
      <w:pPr>
        <w:pStyle w:val="Listenabsatz"/>
        <w:numPr>
          <w:ilvl w:val="0"/>
          <w:numId w:val="1"/>
        </w:numPr>
      </w:pPr>
      <w:r w:rsidRPr="008D6120">
        <w:t xml:space="preserve">LC-MS/MS mit Triple-Quadrupol-Massendetektor (QTRAP-MS; </w:t>
      </w:r>
      <w:proofErr w:type="spellStart"/>
      <w:r w:rsidRPr="008D6120">
        <w:t>Sciex</w:t>
      </w:r>
      <w:proofErr w:type="spellEnd"/>
      <w:r w:rsidRPr="008D6120">
        <w:t>)</w:t>
      </w:r>
    </w:p>
    <w:p w14:paraId="7DC04AF8" w14:textId="54BC3B33" w:rsidR="008D6120" w:rsidRDefault="008D6120" w:rsidP="005C6B1B">
      <w:pPr>
        <w:pStyle w:val="Listenabsatz"/>
        <w:numPr>
          <w:ilvl w:val="0"/>
          <w:numId w:val="1"/>
        </w:numPr>
      </w:pPr>
      <w:r w:rsidRPr="008D6120">
        <w:t>HPLC-Einheiten für QTRAP &amp; QTOF (Agilent)</w:t>
      </w:r>
    </w:p>
    <w:p w14:paraId="75EFCD9E" w14:textId="68F153F1" w:rsidR="008D6120" w:rsidRPr="004B6161" w:rsidRDefault="008D6120" w:rsidP="005C6B1B">
      <w:pPr>
        <w:pStyle w:val="Listenabsatz"/>
        <w:numPr>
          <w:ilvl w:val="0"/>
          <w:numId w:val="1"/>
        </w:numPr>
        <w:rPr>
          <w:lang w:val="en-US"/>
        </w:rPr>
      </w:pPr>
      <w:r w:rsidRPr="004B6161">
        <w:rPr>
          <w:lang w:val="en-US"/>
        </w:rPr>
        <w:t>GC-MS (Single-Quad-MS; Agilent)</w:t>
      </w:r>
    </w:p>
    <w:p w14:paraId="0D2E28DD" w14:textId="52248BD9" w:rsidR="008D6120" w:rsidRPr="004B6161" w:rsidRDefault="008D6120" w:rsidP="005C6B1B">
      <w:pPr>
        <w:pStyle w:val="Listenabsatz"/>
        <w:numPr>
          <w:ilvl w:val="0"/>
          <w:numId w:val="1"/>
        </w:numPr>
        <w:rPr>
          <w:lang w:val="en-US"/>
        </w:rPr>
      </w:pPr>
      <w:r w:rsidRPr="004B6161">
        <w:rPr>
          <w:lang w:val="en-US"/>
        </w:rPr>
        <w:t>GC-MS/MS (Triple-Quad-MS; Agilent)</w:t>
      </w:r>
    </w:p>
    <w:p w14:paraId="5F15E17E" w14:textId="16620EAC" w:rsidR="008D6120" w:rsidRPr="008D6120" w:rsidRDefault="008D6120" w:rsidP="005C6B1B">
      <w:pPr>
        <w:pStyle w:val="Listenabsatz"/>
        <w:numPr>
          <w:ilvl w:val="0"/>
          <w:numId w:val="1"/>
        </w:numPr>
      </w:pPr>
      <w:proofErr w:type="spellStart"/>
      <w:r w:rsidRPr="008D6120">
        <w:t>Seahorse</w:t>
      </w:r>
      <w:proofErr w:type="spellEnd"/>
      <w:r w:rsidRPr="008D6120">
        <w:t xml:space="preserve"> XFe96</w:t>
      </w:r>
    </w:p>
    <w:p w14:paraId="5A788768" w14:textId="77777777" w:rsidR="007C28CC" w:rsidRPr="00C52D16" w:rsidRDefault="007C28CC" w:rsidP="005C6B1B">
      <w:pPr>
        <w:rPr>
          <w:b/>
          <w:bCs/>
        </w:rPr>
      </w:pPr>
      <w:r w:rsidRPr="00C52D16">
        <w:rPr>
          <w:b/>
          <w:bCs/>
        </w:rPr>
        <w:t>Nutzerzulassung</w:t>
      </w:r>
    </w:p>
    <w:p w14:paraId="5CEF748D" w14:textId="77777777" w:rsidR="007C28CC" w:rsidRDefault="007C28CC" w:rsidP="005C6B1B">
      <w:pPr>
        <w:spacing w:after="0"/>
      </w:pPr>
      <w:r>
        <w:t>Die Zulassung zur Nutzung der Core Facility erfolgt durch die Leitung.</w:t>
      </w:r>
    </w:p>
    <w:p w14:paraId="4EBCB592" w14:textId="04BAA596" w:rsidR="007C28CC" w:rsidRDefault="007C28CC" w:rsidP="005C6B1B">
      <w:pPr>
        <w:spacing w:after="0"/>
      </w:pPr>
      <w:r>
        <w:t xml:space="preserve">Interne Nutzer (Mitglieder der </w:t>
      </w:r>
      <w:r w:rsidR="00C52D16">
        <w:t>Philipps-</w:t>
      </w:r>
      <w:r>
        <w:t>Universität</w:t>
      </w:r>
      <w:r w:rsidR="00C52D16">
        <w:t xml:space="preserve"> Marburg und des UKGMs</w:t>
      </w:r>
      <w:r>
        <w:t>) haben Vorrang.</w:t>
      </w:r>
    </w:p>
    <w:p w14:paraId="4CA93E9E" w14:textId="77777777" w:rsidR="007C28CC" w:rsidRDefault="007C28CC" w:rsidP="005C6B1B">
      <w:r>
        <w:t>Externe Nutzer können auf Antrag zugelassen werden, sofern die Kapazitäten dies erlauben.</w:t>
      </w:r>
    </w:p>
    <w:p w14:paraId="49E16543" w14:textId="77777777" w:rsidR="007C28CC" w:rsidRPr="00C52D16" w:rsidRDefault="007C28CC" w:rsidP="005C6B1B">
      <w:pPr>
        <w:rPr>
          <w:b/>
          <w:bCs/>
        </w:rPr>
      </w:pPr>
      <w:r w:rsidRPr="00C52D16">
        <w:rPr>
          <w:b/>
          <w:bCs/>
        </w:rPr>
        <w:t>Nutzungsmodelle</w:t>
      </w:r>
    </w:p>
    <w:p w14:paraId="1CFF54CC" w14:textId="09FAFD7D" w:rsidR="007C28CC" w:rsidRDefault="007C28CC" w:rsidP="005C6B1B">
      <w:pPr>
        <w:pStyle w:val="Listenabsatz"/>
        <w:numPr>
          <w:ilvl w:val="0"/>
          <w:numId w:val="2"/>
        </w:numPr>
      </w:pPr>
      <w:r>
        <w:t>Servicebetrieb: Die Proben werden vom Core Facility-Personal bearbeitet und gemessen.</w:t>
      </w:r>
    </w:p>
    <w:p w14:paraId="5C6A598D" w14:textId="56ED1B20" w:rsidR="007C28CC" w:rsidRDefault="007C28CC" w:rsidP="005C6B1B">
      <w:pPr>
        <w:pStyle w:val="Listenabsatz"/>
        <w:numPr>
          <w:ilvl w:val="0"/>
          <w:numId w:val="2"/>
        </w:numPr>
      </w:pPr>
      <w:r>
        <w:t>Begleitete Nutzung: Nutzer arbeiten unter Anleitung des Fachpersonals.</w:t>
      </w:r>
    </w:p>
    <w:p w14:paraId="007312B9" w14:textId="3AB86479" w:rsidR="007C28CC" w:rsidRDefault="007C28CC" w:rsidP="005C6B1B">
      <w:pPr>
        <w:pStyle w:val="Listenabsatz"/>
        <w:numPr>
          <w:ilvl w:val="0"/>
          <w:numId w:val="2"/>
        </w:numPr>
      </w:pPr>
      <w:r>
        <w:t>Selbstständige Nutzung: Qualifizierte Nutzer können nach Einweisung die Geräte selbstständig bedienen.</w:t>
      </w:r>
    </w:p>
    <w:p w14:paraId="7C551081" w14:textId="6888DDE2" w:rsidR="008B069F" w:rsidRDefault="008B069F" w:rsidP="005C6B1B">
      <w:pPr>
        <w:rPr>
          <w:b/>
          <w:bCs/>
        </w:rPr>
      </w:pPr>
      <w:r>
        <w:rPr>
          <w:b/>
          <w:bCs/>
        </w:rPr>
        <w:t>Laborzugang bei selbständiger Nutzung</w:t>
      </w:r>
    </w:p>
    <w:p w14:paraId="65B50A74" w14:textId="5874FDDA" w:rsidR="008B069F" w:rsidRPr="008B069F" w:rsidRDefault="008B069F" w:rsidP="005C6B1B">
      <w:r>
        <w:t xml:space="preserve">Bei einer selbstständigen Nutzung kann Transponderzugang zu den Laboren von der Leitung gewährt werden. Voraussetzung hierfür sind unter anderem eine Laboreinführung und </w:t>
      </w:r>
      <w:r w:rsidR="005C6B1B">
        <w:t xml:space="preserve">eine </w:t>
      </w:r>
      <w:r>
        <w:t>Sicherheitsunterweisung.</w:t>
      </w:r>
    </w:p>
    <w:p w14:paraId="59A1FCFA" w14:textId="63E25148" w:rsidR="007C28CC" w:rsidRPr="00C415C4" w:rsidRDefault="007C28CC" w:rsidP="005C6B1B">
      <w:pPr>
        <w:rPr>
          <w:b/>
          <w:bCs/>
        </w:rPr>
      </w:pPr>
      <w:r w:rsidRPr="00C415C4">
        <w:rPr>
          <w:b/>
          <w:bCs/>
        </w:rPr>
        <w:t>Buchungssystem und Priorisierung</w:t>
      </w:r>
    </w:p>
    <w:p w14:paraId="6FCA398E" w14:textId="2E8BEF5C" w:rsidR="007C28CC" w:rsidRDefault="007C28CC" w:rsidP="005C6B1B">
      <w:r>
        <w:t xml:space="preserve">Die Nutzung der Geräte erfolgt </w:t>
      </w:r>
      <w:r w:rsidR="00C415C4">
        <w:t xml:space="preserve">entweder </w:t>
      </w:r>
      <w:r>
        <w:t xml:space="preserve">über </w:t>
      </w:r>
      <w:r w:rsidR="00C415C4">
        <w:t xml:space="preserve">das Personal der Core Facility oder </w:t>
      </w:r>
      <w:r>
        <w:t>ein Online-Buchungssystem.</w:t>
      </w:r>
    </w:p>
    <w:p w14:paraId="220B10EA" w14:textId="7A78A530" w:rsidR="007C28CC" w:rsidRDefault="007C28CC" w:rsidP="005C6B1B">
      <w:r>
        <w:t xml:space="preserve">Bei Überbuchung entscheidet die Leitung </w:t>
      </w:r>
      <w:r w:rsidR="0012586F">
        <w:t>nachfolgenden</w:t>
      </w:r>
      <w:r>
        <w:t xml:space="preserve"> Kriterien:</w:t>
      </w:r>
    </w:p>
    <w:p w14:paraId="69337DA8" w14:textId="112E5DB5" w:rsidR="007C28CC" w:rsidRDefault="007C28CC" w:rsidP="005C6B1B">
      <w:pPr>
        <w:pStyle w:val="Listenabsatz"/>
        <w:numPr>
          <w:ilvl w:val="0"/>
          <w:numId w:val="3"/>
        </w:numPr>
      </w:pPr>
      <w:r>
        <w:t>Dringlichkeit des Projekts</w:t>
      </w:r>
    </w:p>
    <w:p w14:paraId="7D64A67F" w14:textId="3ACDB4A8" w:rsidR="007C28CC" w:rsidRDefault="007C28CC" w:rsidP="005C6B1B">
      <w:pPr>
        <w:pStyle w:val="Listenabsatz"/>
        <w:numPr>
          <w:ilvl w:val="0"/>
          <w:numId w:val="3"/>
        </w:numPr>
      </w:pPr>
      <w:r>
        <w:t>Effizienz der Gerätenutzung</w:t>
      </w:r>
    </w:p>
    <w:p w14:paraId="19546447" w14:textId="77777777" w:rsidR="007C28CC" w:rsidRDefault="007C28CC" w:rsidP="005C6B1B">
      <w:pPr>
        <w:pStyle w:val="Listenabsatz"/>
        <w:numPr>
          <w:ilvl w:val="0"/>
          <w:numId w:val="3"/>
        </w:numPr>
      </w:pPr>
      <w:r>
        <w:t>Fairness gegenüber allen Nutzern</w:t>
      </w:r>
    </w:p>
    <w:p w14:paraId="39DF61B8" w14:textId="19AFF48F" w:rsidR="007C28CC" w:rsidRDefault="007C28CC" w:rsidP="005C6B1B">
      <w:pPr>
        <w:rPr>
          <w:b/>
          <w:bCs/>
        </w:rPr>
      </w:pPr>
      <w:r w:rsidRPr="00C415C4">
        <w:rPr>
          <w:b/>
          <w:bCs/>
        </w:rPr>
        <w:t>Pflichten der Nutzer</w:t>
      </w:r>
    </w:p>
    <w:p w14:paraId="0E45C548" w14:textId="4D8509EF" w:rsidR="005A078D" w:rsidRPr="005A078D" w:rsidRDefault="005A078D" w:rsidP="005C6B1B">
      <w:r w:rsidRPr="005A078D">
        <w:t>Die Nutzer sind verpflichtet</w:t>
      </w:r>
    </w:p>
    <w:p w14:paraId="074590A2" w14:textId="4F5F0820" w:rsidR="005A078D" w:rsidRDefault="007C28CC" w:rsidP="005C6B1B">
      <w:pPr>
        <w:pStyle w:val="Listenabsatz"/>
        <w:numPr>
          <w:ilvl w:val="0"/>
          <w:numId w:val="4"/>
        </w:numPr>
        <w:spacing w:after="100" w:afterAutospacing="1"/>
        <w:ind w:left="714" w:hanging="357"/>
      </w:pPr>
      <w:r>
        <w:t>diese</w:t>
      </w:r>
      <w:r w:rsidR="0089546B">
        <w:t>r</w:t>
      </w:r>
      <w:r>
        <w:t xml:space="preserve"> Nutzungsordnung und gerätespezifische</w:t>
      </w:r>
      <w:r w:rsidR="0089546B">
        <w:t>n</w:t>
      </w:r>
      <w:r>
        <w:t xml:space="preserve"> Anweisungen</w:t>
      </w:r>
      <w:r w:rsidR="0089546B">
        <w:t xml:space="preserve"> zu folgen</w:t>
      </w:r>
    </w:p>
    <w:p w14:paraId="064C93DA" w14:textId="10670CFC" w:rsidR="0089546B" w:rsidRPr="0089546B" w:rsidRDefault="005A078D" w:rsidP="005C6B1B">
      <w:pPr>
        <w:pStyle w:val="Default"/>
        <w:numPr>
          <w:ilvl w:val="0"/>
          <w:numId w:val="4"/>
        </w:numPr>
        <w:spacing w:after="100" w:afterAutospacing="1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den Weisungen des CF-Personals Folge zu leisten </w:t>
      </w:r>
    </w:p>
    <w:p w14:paraId="00F0AB65" w14:textId="29902725" w:rsidR="005A078D" w:rsidRPr="0089546B" w:rsidRDefault="0089546B" w:rsidP="005C6B1B">
      <w:pPr>
        <w:pStyle w:val="Default"/>
        <w:numPr>
          <w:ilvl w:val="0"/>
          <w:numId w:val="4"/>
        </w:numPr>
        <w:spacing w:after="100" w:afterAutospacing="1"/>
        <w:ind w:left="714" w:hanging="357"/>
        <w:rPr>
          <w:sz w:val="22"/>
          <w:szCs w:val="22"/>
        </w:rPr>
      </w:pPr>
      <w:r>
        <w:rPr>
          <w:sz w:val="22"/>
          <w:szCs w:val="22"/>
        </w:rPr>
        <w:t>Das Personal der CF ist über Sicherheitsrisiken im Zusammenhang mit dem Versuchsmaterial (insbesondere pathogene, infektiöse, toxische oder radioaktive Eigenschaften des Versuchs-materials) umfassend zu informieren</w:t>
      </w:r>
      <w:r w:rsidR="005C6B1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FE30661" w14:textId="4C9EBE20" w:rsidR="007C28CC" w:rsidRDefault="007C28CC" w:rsidP="005C6B1B">
      <w:pPr>
        <w:pStyle w:val="Listenabsatz"/>
        <w:numPr>
          <w:ilvl w:val="0"/>
          <w:numId w:val="4"/>
        </w:numPr>
        <w:spacing w:after="100" w:afterAutospacing="1"/>
        <w:ind w:left="714" w:hanging="357"/>
      </w:pPr>
      <w:r>
        <w:t>Sorgfältiger Umgang mit den Geräten</w:t>
      </w:r>
    </w:p>
    <w:p w14:paraId="10BC1C76" w14:textId="65606C36" w:rsidR="007C28CC" w:rsidRDefault="007C28CC" w:rsidP="005C6B1B">
      <w:pPr>
        <w:pStyle w:val="Listenabsatz"/>
        <w:numPr>
          <w:ilvl w:val="0"/>
          <w:numId w:val="4"/>
        </w:numPr>
        <w:spacing w:after="100" w:afterAutospacing="1"/>
        <w:ind w:left="714" w:hanging="357"/>
      </w:pPr>
      <w:r>
        <w:t>Unverzügliche Meldung von Schäden oder Funktionsstörungen</w:t>
      </w:r>
    </w:p>
    <w:p w14:paraId="1B9C9B62" w14:textId="2F858287" w:rsidR="007C28CC" w:rsidRDefault="007C28CC" w:rsidP="005C6B1B">
      <w:pPr>
        <w:pStyle w:val="Listenabsatz"/>
        <w:numPr>
          <w:ilvl w:val="0"/>
          <w:numId w:val="4"/>
        </w:numPr>
        <w:spacing w:after="100" w:afterAutospacing="1"/>
        <w:ind w:left="714" w:hanging="357"/>
      </w:pPr>
      <w:r>
        <w:t>Teilnahme an erforderlichen Sicherheitseinweisungen</w:t>
      </w:r>
    </w:p>
    <w:p w14:paraId="637E57FD" w14:textId="57B98688" w:rsidR="0089546B" w:rsidRPr="0089546B" w:rsidRDefault="0089546B" w:rsidP="005C6B1B">
      <w:pPr>
        <w:pStyle w:val="Default"/>
        <w:numPr>
          <w:ilvl w:val="0"/>
          <w:numId w:val="4"/>
        </w:numPr>
        <w:spacing w:after="100" w:afterAutospacing="1"/>
        <w:ind w:left="714" w:hanging="357"/>
        <w:rPr>
          <w:sz w:val="22"/>
          <w:szCs w:val="22"/>
        </w:rPr>
      </w:pPr>
      <w:r>
        <w:rPr>
          <w:sz w:val="22"/>
          <w:szCs w:val="22"/>
        </w:rPr>
        <w:lastRenderedPageBreak/>
        <w:t>Die Arbeit der CF bei Veröffentlichungen gebührend zu berücksichtigen. Bei wissenschaftlichem Input in Form einer Ko-Autorenschaft mit Angabe der korrekten Bezeichnung der CF.</w:t>
      </w:r>
    </w:p>
    <w:p w14:paraId="386BBD15" w14:textId="560F71DE" w:rsidR="0089546B" w:rsidRPr="0089546B" w:rsidRDefault="0089546B" w:rsidP="005C6B1B">
      <w:pPr>
        <w:pStyle w:val="Default"/>
        <w:numPr>
          <w:ilvl w:val="0"/>
          <w:numId w:val="4"/>
        </w:numPr>
        <w:spacing w:after="100" w:afterAutospacing="1"/>
        <w:ind w:hanging="357"/>
        <w:rPr>
          <w:sz w:val="22"/>
          <w:szCs w:val="22"/>
        </w:rPr>
      </w:pPr>
      <w:r w:rsidRPr="0089546B">
        <w:rPr>
          <w:sz w:val="22"/>
          <w:szCs w:val="22"/>
        </w:rPr>
        <w:t>Die angefallenen Kosten durch die Nutzung der Core Facility sind unverzüglich nach Rechnungsstellung zu begleichen</w:t>
      </w:r>
      <w:r w:rsidR="005C6B1B">
        <w:rPr>
          <w:sz w:val="22"/>
          <w:szCs w:val="22"/>
        </w:rPr>
        <w:t>.</w:t>
      </w:r>
      <w:r w:rsidRPr="0089546B">
        <w:rPr>
          <w:sz w:val="22"/>
          <w:szCs w:val="22"/>
        </w:rPr>
        <w:t xml:space="preserve"> </w:t>
      </w:r>
    </w:p>
    <w:p w14:paraId="785B40F1" w14:textId="77777777" w:rsidR="007C28CC" w:rsidRPr="00C415C4" w:rsidRDefault="007C28CC" w:rsidP="005C6B1B">
      <w:pPr>
        <w:rPr>
          <w:b/>
          <w:bCs/>
        </w:rPr>
      </w:pPr>
      <w:r w:rsidRPr="00C415C4">
        <w:rPr>
          <w:b/>
          <w:bCs/>
        </w:rPr>
        <w:t>Kostenregelung</w:t>
      </w:r>
    </w:p>
    <w:p w14:paraId="60BC4EE5" w14:textId="44485726" w:rsidR="007C28CC" w:rsidRDefault="007C28CC" w:rsidP="005C6B1B">
      <w:pPr>
        <w:spacing w:after="0"/>
      </w:pPr>
      <w:r>
        <w:t>Die Nutzungsgebühren werden nach den Vorgaben der DFG (Vordruck 55.04) kalkuliert.</w:t>
      </w:r>
    </w:p>
    <w:p w14:paraId="332B95F0" w14:textId="77777777" w:rsidR="007C28CC" w:rsidRDefault="007C28CC" w:rsidP="005C6B1B">
      <w:pPr>
        <w:spacing w:after="0"/>
      </w:pPr>
      <w:r>
        <w:t>Es wird zwischen internen und externen Nutzern differenziert.</w:t>
      </w:r>
    </w:p>
    <w:p w14:paraId="24986955" w14:textId="5229EF25" w:rsidR="007C28CC" w:rsidRDefault="007C28CC" w:rsidP="005C6B1B">
      <w:r>
        <w:t xml:space="preserve">Die aktuelle Preisliste ist einsehbar </w:t>
      </w:r>
      <w:r w:rsidR="00C415C4">
        <w:t xml:space="preserve">nach Anfrage </w:t>
      </w:r>
      <w:r>
        <w:t>und wird regelmäßig aktualisiert.</w:t>
      </w:r>
    </w:p>
    <w:p w14:paraId="2DC8312A" w14:textId="4F3E7143" w:rsidR="008B069F" w:rsidRDefault="008B069F" w:rsidP="005C6B1B">
      <w:r>
        <w:t xml:space="preserve">Generell gilt für massenspektrometrische Messungen ein Stundensatz von 40 Euro. Je nach </w:t>
      </w:r>
      <w:proofErr w:type="spellStart"/>
      <w:r>
        <w:t>Zi</w:t>
      </w:r>
      <w:r w:rsidR="00950825">
        <w:t>e</w:t>
      </w:r>
      <w:r>
        <w:t>lanalyt</w:t>
      </w:r>
      <w:proofErr w:type="spellEnd"/>
      <w:r>
        <w:t xml:space="preserve"> und Methodik werden daraus die Kosten bestimmt, welche auf Anfrage für individuelle Methoden einsehbar sind. </w:t>
      </w:r>
    </w:p>
    <w:p w14:paraId="298BFD9E" w14:textId="7C1DD356" w:rsidR="007A2327" w:rsidRDefault="007A2327" w:rsidP="005C6B1B">
      <w:r>
        <w:t>Zusätzlich benötigte Materialien, zum Beispiel Standards für individuelle Methodenentwicklung, werden ebenfalls in Rechnung gestellt.</w:t>
      </w:r>
    </w:p>
    <w:p w14:paraId="5158D883" w14:textId="3CB49148" w:rsidR="00950825" w:rsidRDefault="00950825" w:rsidP="005C6B1B">
      <w:r>
        <w:t xml:space="preserve">Für </w:t>
      </w:r>
      <w:proofErr w:type="spellStart"/>
      <w:r>
        <w:t>Seahorse</w:t>
      </w:r>
      <w:proofErr w:type="spellEnd"/>
      <w:r w:rsidR="005C6B1B">
        <w:t>-</w:t>
      </w:r>
      <w:r>
        <w:t>Messungen wird eine Pauschale von 50 Euro pro Messung bzw</w:t>
      </w:r>
      <w:r w:rsidR="005C6B1B">
        <w:t>.</w:t>
      </w:r>
      <w:r>
        <w:t xml:space="preserve"> Messtag berechnet.</w:t>
      </w:r>
    </w:p>
    <w:p w14:paraId="060D962F" w14:textId="77777777" w:rsidR="007C28CC" w:rsidRPr="00C415C4" w:rsidRDefault="007C28CC" w:rsidP="005C6B1B">
      <w:pPr>
        <w:rPr>
          <w:b/>
          <w:bCs/>
        </w:rPr>
      </w:pPr>
      <w:r w:rsidRPr="00C415C4">
        <w:rPr>
          <w:b/>
          <w:bCs/>
        </w:rPr>
        <w:t>Datenspeicherung und -management</w:t>
      </w:r>
    </w:p>
    <w:p w14:paraId="324C1C0D" w14:textId="22B13C34" w:rsidR="007C28CC" w:rsidRDefault="007C28CC" w:rsidP="005C6B1B">
      <w:r>
        <w:t>Rohdaten werden für einen festgelegten Zeitraum auf den Servern der Core Facility gespeichert</w:t>
      </w:r>
      <w:r w:rsidR="00C415C4">
        <w:t xml:space="preserve"> (</w:t>
      </w:r>
      <w:r w:rsidR="0006134B">
        <w:t>1 Jahr)</w:t>
      </w:r>
      <w:r>
        <w:t>.</w:t>
      </w:r>
      <w:r w:rsidR="00C415C4">
        <w:t xml:space="preserve"> Die Verantwortung für die </w:t>
      </w:r>
      <w:r w:rsidR="0006134B">
        <w:t xml:space="preserve">Rohdaten liegt bei jedem Zeitpunkt bei den Nutzern. </w:t>
      </w:r>
      <w:r>
        <w:t>Nutzer sind für die langfristige Archivierung ihrer Daten selbst verantwortlich.</w:t>
      </w:r>
    </w:p>
    <w:p w14:paraId="11F68E7A" w14:textId="184E079C" w:rsidR="0012586F" w:rsidRDefault="0012586F" w:rsidP="005C6B1B">
      <w:pPr>
        <w:rPr>
          <w:b/>
          <w:bCs/>
        </w:rPr>
      </w:pPr>
      <w:r>
        <w:rPr>
          <w:b/>
          <w:bCs/>
        </w:rPr>
        <w:t>Publikationen</w:t>
      </w:r>
    </w:p>
    <w:p w14:paraId="0486B2EF" w14:textId="3270FA48" w:rsidR="0012586F" w:rsidRPr="004B6161" w:rsidRDefault="0012586F" w:rsidP="005C6B1B">
      <w:r w:rsidRPr="004B6161">
        <w:t xml:space="preserve">Da die Core Facility wissenschaftlichen Input liefert, wird sie auf </w:t>
      </w:r>
      <w:r w:rsidR="004B6161">
        <w:t>Publikationen mit Co-Autorenschaft(en) berücksichtigt.</w:t>
      </w:r>
    </w:p>
    <w:p w14:paraId="303B5A6F" w14:textId="401C1FA3" w:rsidR="007C28CC" w:rsidRPr="0006134B" w:rsidRDefault="007C28CC" w:rsidP="005C6B1B">
      <w:pPr>
        <w:rPr>
          <w:b/>
          <w:bCs/>
        </w:rPr>
      </w:pPr>
      <w:r w:rsidRPr="0006134B">
        <w:rPr>
          <w:b/>
          <w:bCs/>
        </w:rPr>
        <w:t>Haftung</w:t>
      </w:r>
    </w:p>
    <w:p w14:paraId="70091356" w14:textId="77777777" w:rsidR="007C28CC" w:rsidRDefault="007C28CC" w:rsidP="005C6B1B">
      <w:r>
        <w:t>Die Haftung richtet sich nach den gesetzlichen Bestimmungen. Nutzer haften für Schäden, die durch unsachgemäße Bedienung entstehen.</w:t>
      </w:r>
    </w:p>
    <w:p w14:paraId="7F711136" w14:textId="08FFDFC0" w:rsidR="0022072A" w:rsidRDefault="003E27A7" w:rsidP="005C6B1B">
      <w:r>
        <w:t xml:space="preserve">Marburg, </w:t>
      </w:r>
    </w:p>
    <w:p w14:paraId="5B379015" w14:textId="7D9F4C78" w:rsidR="003E27A7" w:rsidRDefault="003E27A7"/>
    <w:p w14:paraId="5C60C093" w14:textId="52C72860" w:rsidR="003E27A7" w:rsidRDefault="003E27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   </w:t>
      </w:r>
    </w:p>
    <w:p w14:paraId="343E3366" w14:textId="0C4238C2" w:rsidR="003E27A7" w:rsidRDefault="003E27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Name in Druckbuchstaben</w:t>
      </w:r>
    </w:p>
    <w:p w14:paraId="5A6892FD" w14:textId="78DBC74D" w:rsidR="003E27A7" w:rsidRDefault="003E27A7"/>
    <w:p w14:paraId="2279DB8C" w14:textId="37E84607" w:rsidR="003E27A7" w:rsidRDefault="003E27A7"/>
    <w:p w14:paraId="013236D9" w14:textId="539F18EB" w:rsidR="003E27A7" w:rsidRDefault="003E27A7">
      <w:r>
        <w:t>________________________</w:t>
      </w:r>
      <w:r>
        <w:tab/>
      </w:r>
      <w:r>
        <w:tab/>
      </w:r>
      <w:r>
        <w:tab/>
      </w:r>
      <w:r>
        <w:tab/>
      </w:r>
      <w:r>
        <w:tab/>
        <w:t xml:space="preserve">____________________________  </w:t>
      </w:r>
    </w:p>
    <w:p w14:paraId="198BD520" w14:textId="15953E1A" w:rsidR="003E27A7" w:rsidRDefault="003E27A7">
      <w:r>
        <w:t>Datum, Unterschrift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Datum, Unterschrift</w:t>
      </w:r>
    </w:p>
    <w:p w14:paraId="4597AE75" w14:textId="670C8C6D" w:rsidR="003E27A7" w:rsidRDefault="003E27A7"/>
    <w:p w14:paraId="67742E34" w14:textId="50CBF81C" w:rsidR="003E27A7" w:rsidRPr="003E27A7" w:rsidRDefault="003E27A7">
      <w:pPr>
        <w:rPr>
          <w:b/>
          <w:bCs/>
        </w:rPr>
      </w:pPr>
      <w:r w:rsidRPr="003E27A7">
        <w:rPr>
          <w:b/>
          <w:bCs/>
        </w:rPr>
        <w:t>Leitung Core Facility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Nutzer</w:t>
      </w:r>
    </w:p>
    <w:p w14:paraId="5BBFF019" w14:textId="77777777" w:rsidR="003E27A7" w:rsidRDefault="003E27A7"/>
    <w:sectPr w:rsidR="003E27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205F" w14:textId="77777777" w:rsidR="00A44A10" w:rsidRDefault="00A44A10" w:rsidP="00C415C4">
      <w:pPr>
        <w:spacing w:after="0" w:line="240" w:lineRule="auto"/>
      </w:pPr>
      <w:r>
        <w:separator/>
      </w:r>
    </w:p>
  </w:endnote>
  <w:endnote w:type="continuationSeparator" w:id="0">
    <w:p w14:paraId="7F323367" w14:textId="77777777" w:rsidR="00A44A10" w:rsidRDefault="00A44A10" w:rsidP="00C4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47BB" w14:textId="77777777" w:rsidR="005C6B1B" w:rsidRDefault="005C6B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532994"/>
      <w:docPartObj>
        <w:docPartGallery w:val="Page Numbers (Bottom of Page)"/>
        <w:docPartUnique/>
      </w:docPartObj>
    </w:sdtPr>
    <w:sdtEndPr/>
    <w:sdtContent>
      <w:p w14:paraId="787742FA" w14:textId="560B6BB9" w:rsidR="0089546B" w:rsidRDefault="0089546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3F2C71" w14:textId="77777777" w:rsidR="0089546B" w:rsidRDefault="008954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784C" w14:textId="77777777" w:rsidR="005C6B1B" w:rsidRDefault="005C6B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0FED" w14:textId="77777777" w:rsidR="00A44A10" w:rsidRDefault="00A44A10" w:rsidP="00C415C4">
      <w:pPr>
        <w:spacing w:after="0" w:line="240" w:lineRule="auto"/>
      </w:pPr>
      <w:r>
        <w:separator/>
      </w:r>
    </w:p>
  </w:footnote>
  <w:footnote w:type="continuationSeparator" w:id="0">
    <w:p w14:paraId="2F9517C1" w14:textId="77777777" w:rsidR="00A44A10" w:rsidRDefault="00A44A10" w:rsidP="00C41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B2EF" w14:textId="77777777" w:rsidR="005C6B1B" w:rsidRDefault="005C6B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E7CD" w14:textId="034E1092" w:rsidR="00C415C4" w:rsidRDefault="005C6B1B">
    <w:pPr>
      <w:pStyle w:val="Kopfzeile"/>
    </w:pPr>
    <w:r>
      <w:t>V</w:t>
    </w:r>
    <w:r w:rsidR="00C415C4">
      <w:t>ersion 1</w:t>
    </w:r>
    <w:r w:rsidR="00C415C4">
      <w:tab/>
    </w:r>
    <w:r w:rsidR="00C415C4">
      <w:tab/>
    </w:r>
    <w:r>
      <w:t>A</w:t>
    </w:r>
    <w:r w:rsidR="00C415C4">
      <w:t>utor: RVT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E12C" w14:textId="77777777" w:rsidR="005C6B1B" w:rsidRDefault="005C6B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24A"/>
    <w:multiLevelType w:val="hybridMultilevel"/>
    <w:tmpl w:val="B41AF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10755"/>
    <w:multiLevelType w:val="hybridMultilevel"/>
    <w:tmpl w:val="E6840B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00FFD"/>
    <w:multiLevelType w:val="hybridMultilevel"/>
    <w:tmpl w:val="D2D60536"/>
    <w:lvl w:ilvl="0" w:tplc="37A4EE4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E5BA6"/>
    <w:multiLevelType w:val="hybridMultilevel"/>
    <w:tmpl w:val="4D981E24"/>
    <w:lvl w:ilvl="0" w:tplc="37A4EE4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23F7D"/>
    <w:multiLevelType w:val="hybridMultilevel"/>
    <w:tmpl w:val="CCA6BC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B1279"/>
    <w:multiLevelType w:val="hybridMultilevel"/>
    <w:tmpl w:val="9DE4C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CC"/>
    <w:rsid w:val="0006134B"/>
    <w:rsid w:val="0012586F"/>
    <w:rsid w:val="0022072A"/>
    <w:rsid w:val="003E27A7"/>
    <w:rsid w:val="004B6161"/>
    <w:rsid w:val="005A078D"/>
    <w:rsid w:val="005C6B1B"/>
    <w:rsid w:val="00600C86"/>
    <w:rsid w:val="007A2327"/>
    <w:rsid w:val="007C28CC"/>
    <w:rsid w:val="0089546B"/>
    <w:rsid w:val="008B069F"/>
    <w:rsid w:val="008D6120"/>
    <w:rsid w:val="00950825"/>
    <w:rsid w:val="00A44A10"/>
    <w:rsid w:val="00C415C4"/>
    <w:rsid w:val="00C5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5612"/>
  <w15:chartTrackingRefBased/>
  <w15:docId w15:val="{DF4856EB-A6D5-448B-9A31-E4EDC573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28C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41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15C4"/>
  </w:style>
  <w:style w:type="paragraph" w:styleId="Fuzeile">
    <w:name w:val="footer"/>
    <w:basedOn w:val="Standard"/>
    <w:link w:val="FuzeileZchn"/>
    <w:uiPriority w:val="99"/>
    <w:unhideWhenUsed/>
    <w:rsid w:val="00C41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15C4"/>
  </w:style>
  <w:style w:type="table" w:styleId="Tabellenraster">
    <w:name w:val="Table Grid"/>
    <w:basedOn w:val="NormaleTabelle"/>
    <w:uiPriority w:val="39"/>
    <w:rsid w:val="00125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586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586F"/>
    <w:rPr>
      <w:color w:val="605E5C"/>
      <w:shd w:val="clear" w:color="auto" w:fill="E1DFDD"/>
    </w:rPr>
  </w:style>
  <w:style w:type="paragraph" w:customStyle="1" w:styleId="Default">
    <w:name w:val="Default"/>
    <w:rsid w:val="005A07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325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449945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156370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819465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35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1656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7569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4681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41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0132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44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402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0892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  <w:div w:id="43491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327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8973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68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4914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1379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udwigle@uni-marburg.d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mailto:merle.horrelt@uni-marburg.d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lena.pesek@uni-marburg.d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nockher@staff.uni-marburg.de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verena.taudte@uni-marburg.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Taudte</dc:creator>
  <cp:keywords/>
  <dc:description/>
  <cp:lastModifiedBy>Jelena Pesek</cp:lastModifiedBy>
  <cp:revision>10</cp:revision>
  <cp:lastPrinted>2025-03-14T14:07:00Z</cp:lastPrinted>
  <dcterms:created xsi:type="dcterms:W3CDTF">2025-03-14T11:42:00Z</dcterms:created>
  <dcterms:modified xsi:type="dcterms:W3CDTF">2025-03-19T05:39:00Z</dcterms:modified>
</cp:coreProperties>
</file>