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859" w14:textId="72646E75" w:rsidR="008B069F" w:rsidRDefault="008B069F" w:rsidP="008B069F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AC1D0" wp14:editId="0D30E9FC">
            <wp:simplePos x="0" y="0"/>
            <wp:positionH relativeFrom="margin">
              <wp:posOffset>4286914</wp:posOffset>
            </wp:positionH>
            <wp:positionV relativeFrom="paragraph">
              <wp:posOffset>7089</wp:posOffset>
            </wp:positionV>
            <wp:extent cx="1520825" cy="634365"/>
            <wp:effectExtent l="0" t="0" r="0" b="0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0999C" wp14:editId="7EFA9DA1">
            <wp:simplePos x="0" y="0"/>
            <wp:positionH relativeFrom="margin">
              <wp:posOffset>-33522</wp:posOffset>
            </wp:positionH>
            <wp:positionV relativeFrom="paragraph">
              <wp:posOffset>7478</wp:posOffset>
            </wp:positionV>
            <wp:extent cx="1486535" cy="581025"/>
            <wp:effectExtent l="0" t="0" r="0" b="9525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305DB" w14:textId="4A6BDFA8" w:rsidR="008B069F" w:rsidRDefault="008B069F" w:rsidP="008B069F">
      <w:pPr>
        <w:jc w:val="center"/>
        <w:rPr>
          <w:b/>
          <w:bCs/>
          <w:sz w:val="18"/>
          <w:szCs w:val="18"/>
        </w:rPr>
      </w:pPr>
    </w:p>
    <w:p w14:paraId="4CB96C94" w14:textId="03668D0E" w:rsidR="008B069F" w:rsidRDefault="008B069F" w:rsidP="008B069F">
      <w:pPr>
        <w:jc w:val="both"/>
        <w:rPr>
          <w:b/>
          <w:bCs/>
          <w:sz w:val="18"/>
          <w:szCs w:val="18"/>
        </w:rPr>
      </w:pPr>
    </w:p>
    <w:p w14:paraId="35514EEF" w14:textId="11AB4435" w:rsidR="008B069F" w:rsidRPr="008B069F" w:rsidRDefault="008B069F" w:rsidP="008B069F">
      <w:pPr>
        <w:spacing w:after="0"/>
        <w:jc w:val="both"/>
        <w:rPr>
          <w:b/>
          <w:bCs/>
          <w:sz w:val="32"/>
          <w:szCs w:val="32"/>
        </w:rPr>
      </w:pPr>
      <w:r w:rsidRPr="008B069F">
        <w:rPr>
          <w:b/>
          <w:bCs/>
          <w:sz w:val="18"/>
          <w:szCs w:val="18"/>
        </w:rPr>
        <w:t>Prof. Dr. R. Verena Taudte</w:t>
      </w:r>
      <w:r w:rsidRPr="008B069F">
        <w:rPr>
          <w:b/>
          <w:bCs/>
          <w:sz w:val="18"/>
          <w:szCs w:val="18"/>
        </w:rPr>
        <w:tab/>
      </w:r>
      <w:r w:rsidRPr="008B069F">
        <w:rPr>
          <w:b/>
          <w:bCs/>
          <w:sz w:val="18"/>
          <w:szCs w:val="18"/>
        </w:rPr>
        <w:tab/>
      </w:r>
    </w:p>
    <w:p w14:paraId="562DF10B" w14:textId="09B0D055" w:rsidR="008B069F" w:rsidRDefault="008B069F" w:rsidP="008B069F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Phone +49 64210 58-66953</w:t>
      </w:r>
    </w:p>
    <w:p w14:paraId="5F34F9E9" w14:textId="391EF106" w:rsidR="008B069F" w:rsidRDefault="008B069F" w:rsidP="008B069F">
      <w:pPr>
        <w:spacing w:after="0" w:line="240" w:lineRule="auto"/>
        <w:rPr>
          <w:b/>
          <w:bCs/>
          <w:sz w:val="18"/>
          <w:szCs w:val="18"/>
          <w:lang w:val="en-GB"/>
        </w:rPr>
      </w:pPr>
      <w:r w:rsidRPr="008B069F">
        <w:rPr>
          <w:b/>
          <w:bCs/>
          <w:sz w:val="18"/>
          <w:szCs w:val="18"/>
          <w:lang w:val="en-GB"/>
        </w:rPr>
        <w:t>PD Dr. Andreas Nockher</w:t>
      </w:r>
    </w:p>
    <w:p w14:paraId="731135DD" w14:textId="179327C3" w:rsidR="008B069F" w:rsidRPr="008B069F" w:rsidRDefault="008B069F" w:rsidP="008B069F">
      <w:pPr>
        <w:spacing w:after="0" w:line="240" w:lineRule="auto"/>
        <w:rPr>
          <w:sz w:val="18"/>
          <w:szCs w:val="18"/>
          <w:lang w:val="en-GB"/>
        </w:rPr>
      </w:pPr>
      <w:r w:rsidRPr="008B069F">
        <w:rPr>
          <w:sz w:val="18"/>
          <w:szCs w:val="18"/>
          <w:lang w:val="en-GB"/>
        </w:rPr>
        <w:t>Phone +49 6421 58-66235</w:t>
      </w:r>
    </w:p>
    <w:p w14:paraId="73A52598" w14:textId="77777777" w:rsidR="0007435C" w:rsidRPr="0007435C" w:rsidRDefault="0007435C" w:rsidP="0007435C">
      <w:pPr>
        <w:jc w:val="center"/>
        <w:rPr>
          <w:b/>
          <w:bCs/>
          <w:sz w:val="32"/>
          <w:szCs w:val="32"/>
          <w:lang w:val="en-US"/>
        </w:rPr>
      </w:pPr>
      <w:r w:rsidRPr="0007435C">
        <w:rPr>
          <w:b/>
          <w:bCs/>
          <w:sz w:val="32"/>
          <w:szCs w:val="32"/>
          <w:lang w:val="en-US"/>
        </w:rPr>
        <w:t>Usage Regulations</w:t>
      </w:r>
    </w:p>
    <w:p w14:paraId="00750BE7" w14:textId="77777777" w:rsidR="0007435C" w:rsidRDefault="0007435C" w:rsidP="0007435C">
      <w:pPr>
        <w:jc w:val="center"/>
        <w:rPr>
          <w:b/>
          <w:bCs/>
          <w:sz w:val="32"/>
          <w:szCs w:val="32"/>
          <w:lang w:val="en-US"/>
        </w:rPr>
      </w:pPr>
      <w:r w:rsidRPr="0007435C">
        <w:rPr>
          <w:b/>
          <w:bCs/>
          <w:sz w:val="32"/>
          <w:szCs w:val="32"/>
          <w:lang w:val="en-US"/>
        </w:rPr>
        <w:t>Core Facility for Metabolomics</w:t>
      </w:r>
    </w:p>
    <w:p w14:paraId="16B905FD" w14:textId="225A622D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Preamble</w:t>
      </w:r>
    </w:p>
    <w:p w14:paraId="53278397" w14:textId="2B9CBCBF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The Core Facility Metabolomics is a central research infrastructure of the Faculty of Medicine at Philipps University Marburg, providing access to state-of-the-art metabolomic techniques including mass spectrometry and Seahorse</w:t>
      </w:r>
      <w:r w:rsidR="00B0068C">
        <w:rPr>
          <w:sz w:val="24"/>
          <w:szCs w:val="24"/>
          <w:lang w:val="en-US"/>
        </w:rPr>
        <w:t xml:space="preserve"> technology</w:t>
      </w:r>
      <w:r w:rsidRPr="0007435C">
        <w:rPr>
          <w:sz w:val="24"/>
          <w:szCs w:val="24"/>
          <w:lang w:val="en-US"/>
        </w:rPr>
        <w:t>, along with associated services for scientists. These usage regulations govern the basic provisions for the operation and use of the Core Facility.</w:t>
      </w:r>
    </w:p>
    <w:p w14:paraId="4FDF743C" w14:textId="77777777" w:rsidR="00B0068C" w:rsidRPr="0007435C" w:rsidRDefault="00B0068C" w:rsidP="00B0068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Management and Organization</w:t>
      </w:r>
    </w:p>
    <w:p w14:paraId="4A7AFDF5" w14:textId="77777777" w:rsidR="00B0068C" w:rsidRDefault="00B0068C" w:rsidP="00B0068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The Core Facility is led by scientific management, responsible for the entire operational process, proper execution of tasks, and further development of the facility.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B0068C" w14:paraId="203081B1" w14:textId="77777777" w:rsidTr="00614C55">
        <w:tc>
          <w:tcPr>
            <w:tcW w:w="3114" w:type="dxa"/>
          </w:tcPr>
          <w:p w14:paraId="6B6D89E0" w14:textId="77777777" w:rsidR="00B0068C" w:rsidRPr="0012586F" w:rsidRDefault="00B0068C" w:rsidP="00614C55">
            <w:pPr>
              <w:pStyle w:val="Listenabsatz"/>
              <w:rPr>
                <w:b/>
                <w:bCs/>
              </w:rPr>
            </w:pPr>
            <w:r w:rsidRPr="0012586F">
              <w:rPr>
                <w:b/>
                <w:bCs/>
              </w:rPr>
              <w:t>Leitung</w:t>
            </w:r>
          </w:p>
          <w:p w14:paraId="644F4977" w14:textId="77777777" w:rsidR="00B0068C" w:rsidRPr="0012586F" w:rsidRDefault="00B0068C" w:rsidP="00614C55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Prof. Dr. R. Verena Taudte</w:t>
            </w:r>
          </w:p>
          <w:p w14:paraId="50C23412" w14:textId="77777777" w:rsidR="00B0068C" w:rsidRPr="0012586F" w:rsidRDefault="00B0068C" w:rsidP="00614C55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Hans-Meerwein-Str. 3</w:t>
            </w:r>
          </w:p>
          <w:p w14:paraId="45546836" w14:textId="77777777" w:rsidR="00B0068C" w:rsidRPr="0012586F" w:rsidRDefault="00B0068C" w:rsidP="00614C55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Tel.: 58-66953</w:t>
            </w:r>
          </w:p>
          <w:p w14:paraId="522EB901" w14:textId="77777777" w:rsidR="00B0068C" w:rsidRDefault="006E3B6D" w:rsidP="00614C55">
            <w:pPr>
              <w:pStyle w:val="Listenabsatz"/>
              <w:ind w:left="0"/>
              <w:rPr>
                <w:sz w:val="20"/>
                <w:szCs w:val="20"/>
              </w:rPr>
            </w:pPr>
            <w:hyperlink r:id="rId9" w:history="1">
              <w:r w:rsidR="00B0068C" w:rsidRPr="0012586F">
                <w:rPr>
                  <w:rStyle w:val="Hyperlink"/>
                  <w:sz w:val="20"/>
                  <w:szCs w:val="20"/>
                </w:rPr>
                <w:t>verena.taudte@uni-marburg.de</w:t>
              </w:r>
            </w:hyperlink>
          </w:p>
          <w:p w14:paraId="657C4FF3" w14:textId="77777777" w:rsidR="00B0068C" w:rsidRDefault="00B0068C" w:rsidP="00614C55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6D140F64" w14:textId="77777777" w:rsidR="00B0068C" w:rsidRPr="0012586F" w:rsidRDefault="00B0068C" w:rsidP="00614C55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PD. Dr. Andreas Nockher</w:t>
            </w:r>
          </w:p>
          <w:p w14:paraId="359F61AB" w14:textId="77777777" w:rsidR="00B0068C" w:rsidRPr="0012586F" w:rsidRDefault="00B0068C" w:rsidP="00614C55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Baldingerstraße</w:t>
            </w:r>
          </w:p>
          <w:p w14:paraId="3E72BE27" w14:textId="77777777" w:rsidR="00B0068C" w:rsidRDefault="00B0068C" w:rsidP="00614C55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Tel.: 58-</w:t>
            </w:r>
            <w:r>
              <w:t xml:space="preserve"> </w:t>
            </w:r>
            <w:r w:rsidRPr="00600C86">
              <w:rPr>
                <w:sz w:val="20"/>
                <w:szCs w:val="20"/>
              </w:rPr>
              <w:t>66265</w:t>
            </w:r>
          </w:p>
          <w:p w14:paraId="52F5C09F" w14:textId="77777777" w:rsidR="00B0068C" w:rsidRPr="0012586F" w:rsidRDefault="006E3B6D" w:rsidP="00614C55">
            <w:pPr>
              <w:pStyle w:val="Listenabsatz"/>
              <w:ind w:left="0"/>
              <w:rPr>
                <w:sz w:val="20"/>
                <w:szCs w:val="20"/>
              </w:rPr>
            </w:pPr>
            <w:hyperlink r:id="rId10" w:history="1">
              <w:r w:rsidR="00B0068C" w:rsidRPr="0012586F">
                <w:rPr>
                  <w:rStyle w:val="Hyperlink"/>
                  <w:sz w:val="20"/>
                  <w:szCs w:val="20"/>
                </w:rPr>
                <w:t>nockher@staff.uni-marburg.de</w:t>
              </w:r>
            </w:hyperlink>
          </w:p>
        </w:tc>
        <w:tc>
          <w:tcPr>
            <w:tcW w:w="3118" w:type="dxa"/>
          </w:tcPr>
          <w:p w14:paraId="38EB8787" w14:textId="77777777" w:rsidR="00B0068C" w:rsidRPr="0012586F" w:rsidRDefault="00B0068C" w:rsidP="00614C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Wissenschaftliches Personal</w:t>
            </w:r>
          </w:p>
          <w:p w14:paraId="3EBB11DF" w14:textId="77777777" w:rsidR="00B0068C" w:rsidRPr="0012586F" w:rsidRDefault="00B0068C" w:rsidP="00614C55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Dr. </w:t>
            </w:r>
            <w:r>
              <w:rPr>
                <w:sz w:val="20"/>
                <w:szCs w:val="20"/>
              </w:rPr>
              <w:t>Jelena Pesek (MS)</w:t>
            </w:r>
          </w:p>
          <w:p w14:paraId="29A96AF6" w14:textId="77777777" w:rsidR="00B0068C" w:rsidRPr="0012586F" w:rsidRDefault="00B0068C" w:rsidP="00614C55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Baldingerstraße</w:t>
            </w:r>
          </w:p>
          <w:p w14:paraId="637915C3" w14:textId="77777777" w:rsidR="00B0068C" w:rsidRPr="0012586F" w:rsidRDefault="00B0068C" w:rsidP="00614C55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Tel.: </w:t>
            </w:r>
            <w:r w:rsidRPr="00600C86">
              <w:rPr>
                <w:sz w:val="20"/>
                <w:szCs w:val="20"/>
              </w:rPr>
              <w:t>58-64096</w:t>
            </w:r>
          </w:p>
          <w:p w14:paraId="3744D519" w14:textId="77777777" w:rsidR="00B0068C" w:rsidRPr="0012586F" w:rsidRDefault="006E3B6D" w:rsidP="00614C55">
            <w:pPr>
              <w:rPr>
                <w:sz w:val="20"/>
                <w:szCs w:val="20"/>
              </w:rPr>
            </w:pPr>
            <w:hyperlink r:id="rId11" w:history="1">
              <w:r w:rsidR="00B0068C" w:rsidRPr="00912F0A">
                <w:rPr>
                  <w:rStyle w:val="Hyperlink"/>
                  <w:sz w:val="20"/>
                  <w:szCs w:val="20"/>
                </w:rPr>
                <w:t>pesek@staff.uni-marburg.de</w:t>
              </w:r>
            </w:hyperlink>
          </w:p>
        </w:tc>
        <w:tc>
          <w:tcPr>
            <w:tcW w:w="2830" w:type="dxa"/>
          </w:tcPr>
          <w:p w14:paraId="66AFF234" w14:textId="77777777" w:rsidR="00B0068C" w:rsidRPr="0012586F" w:rsidRDefault="00B0068C" w:rsidP="00614C55">
            <w:pPr>
              <w:jc w:val="center"/>
              <w:rPr>
                <w:b/>
                <w:bCs/>
              </w:rPr>
            </w:pPr>
            <w:r w:rsidRPr="0012586F">
              <w:rPr>
                <w:b/>
                <w:bCs/>
              </w:rPr>
              <w:t>Technisches Personal</w:t>
            </w:r>
          </w:p>
          <w:p w14:paraId="06EB91BB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Merle Horrelt</w:t>
            </w:r>
            <w:r>
              <w:rPr>
                <w:sz w:val="20"/>
                <w:szCs w:val="20"/>
              </w:rPr>
              <w:t xml:space="preserve"> (Seahorse)</w:t>
            </w:r>
          </w:p>
          <w:p w14:paraId="1642686F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Hans-Meerwein-Str. 3</w:t>
            </w:r>
          </w:p>
          <w:p w14:paraId="0CAD3854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Tel.: 28-66038</w:t>
            </w:r>
          </w:p>
          <w:p w14:paraId="6C56A55C" w14:textId="77777777" w:rsidR="00B0068C" w:rsidRDefault="006E3B6D" w:rsidP="00614C55">
            <w:pPr>
              <w:jc w:val="both"/>
              <w:rPr>
                <w:sz w:val="20"/>
                <w:szCs w:val="20"/>
              </w:rPr>
            </w:pPr>
            <w:hyperlink r:id="rId12" w:history="1">
              <w:r w:rsidR="00B0068C" w:rsidRPr="0012586F">
                <w:rPr>
                  <w:rStyle w:val="Hyperlink"/>
                  <w:sz w:val="20"/>
                  <w:szCs w:val="20"/>
                </w:rPr>
                <w:t>merle.horrelt@uni-marburg.de</w:t>
              </w:r>
            </w:hyperlink>
          </w:p>
          <w:p w14:paraId="5312B920" w14:textId="77777777" w:rsidR="00B0068C" w:rsidRDefault="00B0068C" w:rsidP="00614C55">
            <w:pPr>
              <w:jc w:val="both"/>
              <w:rPr>
                <w:sz w:val="20"/>
                <w:szCs w:val="20"/>
              </w:rPr>
            </w:pPr>
          </w:p>
          <w:p w14:paraId="1054E076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 Ludwig-Radtke (MS)</w:t>
            </w:r>
          </w:p>
          <w:p w14:paraId="2333CE8F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Baldingerstraße</w:t>
            </w:r>
          </w:p>
          <w:p w14:paraId="15880690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Tel.: </w:t>
            </w:r>
            <w:r w:rsidRPr="00600C86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-</w:t>
            </w:r>
            <w:r w:rsidRPr="00600C86">
              <w:rPr>
                <w:sz w:val="20"/>
                <w:szCs w:val="20"/>
              </w:rPr>
              <w:t>67018</w:t>
            </w:r>
          </w:p>
          <w:p w14:paraId="1E708826" w14:textId="77777777" w:rsidR="00B0068C" w:rsidRPr="005A078D" w:rsidRDefault="006E3B6D" w:rsidP="00614C55">
            <w:pPr>
              <w:jc w:val="both"/>
              <w:rPr>
                <w:rStyle w:val="Hyperlink"/>
              </w:rPr>
            </w:pPr>
            <w:hyperlink r:id="rId13" w:history="1">
              <w:r w:rsidR="00B0068C" w:rsidRPr="00912F0A">
                <w:rPr>
                  <w:rStyle w:val="Hyperlink"/>
                  <w:sz w:val="20"/>
                  <w:szCs w:val="20"/>
                </w:rPr>
                <w:t>ludwigle@uni-marburg.de</w:t>
              </w:r>
            </w:hyperlink>
          </w:p>
          <w:p w14:paraId="5E23D85E" w14:textId="77777777" w:rsidR="00B0068C" w:rsidRPr="0012586F" w:rsidRDefault="00B0068C" w:rsidP="00614C55">
            <w:pPr>
              <w:jc w:val="both"/>
              <w:rPr>
                <w:sz w:val="20"/>
                <w:szCs w:val="20"/>
              </w:rPr>
            </w:pPr>
          </w:p>
        </w:tc>
      </w:tr>
    </w:tbl>
    <w:p w14:paraId="1FB6DC05" w14:textId="77777777" w:rsidR="00B0068C" w:rsidRDefault="00B0068C" w:rsidP="0007435C">
      <w:pPr>
        <w:jc w:val="both"/>
        <w:rPr>
          <w:b/>
          <w:bCs/>
          <w:sz w:val="24"/>
          <w:szCs w:val="24"/>
          <w:lang w:val="en-US"/>
        </w:rPr>
      </w:pPr>
    </w:p>
    <w:p w14:paraId="2DF0190A" w14:textId="7FEC1A38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Tasks and Services</w:t>
      </w:r>
    </w:p>
    <w:p w14:paraId="6EFD5EA9" w14:textId="77777777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The Core Facility offers the following services:</w:t>
      </w:r>
    </w:p>
    <w:p w14:paraId="6392791D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Consultation on experimental design</w:t>
      </w:r>
    </w:p>
    <w:p w14:paraId="053D3577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Optimization and adaptation of existing measurement techniques for specific user questions (method development: LC-MS, GC-MS)</w:t>
      </w:r>
    </w:p>
    <w:p w14:paraId="1838C73D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Sample preparation and measurement</w:t>
      </w:r>
    </w:p>
    <w:p w14:paraId="55401AB1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Access to various mass spectrometers</w:t>
      </w:r>
    </w:p>
    <w:p w14:paraId="174CE699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Access to an Agilent Seahorse XF platform</w:t>
      </w:r>
    </w:p>
    <w:p w14:paraId="7C373D71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Coordination and scheduling between users</w:t>
      </w:r>
    </w:p>
    <w:p w14:paraId="6E3D0B4A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System maintenance and expansion, software updates</w:t>
      </w:r>
    </w:p>
    <w:p w14:paraId="36E6FDCF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Data analysis and evaluation</w:t>
      </w:r>
    </w:p>
    <w:p w14:paraId="56A3C5A4" w14:textId="77777777" w:rsidR="00B0068C" w:rsidRPr="00B0068C" w:rsidRDefault="00B0068C" w:rsidP="00B0068C">
      <w:pPr>
        <w:pStyle w:val="Listenabsatz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Training for qualified users</w:t>
      </w:r>
    </w:p>
    <w:p w14:paraId="5B89937C" w14:textId="59B98C6D" w:rsidR="00B0068C" w:rsidRDefault="00B0068C" w:rsidP="0007435C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Instruments</w:t>
      </w:r>
    </w:p>
    <w:p w14:paraId="457E6BEF" w14:textId="77A28021" w:rsidR="00B0068C" w:rsidRDefault="00B0068C" w:rsidP="00B0068C">
      <w:pPr>
        <w:pStyle w:val="Listenabsatz"/>
        <w:numPr>
          <w:ilvl w:val="0"/>
          <w:numId w:val="1"/>
        </w:numPr>
        <w:rPr>
          <w:lang w:val="en-US"/>
        </w:rPr>
      </w:pPr>
      <w:r w:rsidRPr="00B0068C">
        <w:rPr>
          <w:lang w:val="en-US"/>
        </w:rPr>
        <w:t>LC</w:t>
      </w:r>
      <w:r>
        <w:rPr>
          <w:lang w:val="en-US"/>
        </w:rPr>
        <w:t>-HRMS: Vanquis LC with Orbitrap 480 MS (Thermo Fisher)</w:t>
      </w:r>
    </w:p>
    <w:p w14:paraId="1DFF8A6A" w14:textId="1A6F7868" w:rsidR="00B0068C" w:rsidRPr="00B0068C" w:rsidRDefault="00B0068C" w:rsidP="00B0068C">
      <w:pPr>
        <w:pStyle w:val="Listenabsatz"/>
        <w:numPr>
          <w:ilvl w:val="0"/>
          <w:numId w:val="1"/>
        </w:numPr>
        <w:rPr>
          <w:lang w:val="en-US"/>
        </w:rPr>
      </w:pPr>
      <w:r w:rsidRPr="00B0068C">
        <w:rPr>
          <w:lang w:val="en-US"/>
        </w:rPr>
        <w:t xml:space="preserve">LC-HRMS: Time-of-Flight </w:t>
      </w:r>
      <w:r>
        <w:rPr>
          <w:lang w:val="en-US"/>
        </w:rPr>
        <w:t>MS</w:t>
      </w:r>
      <w:r w:rsidRPr="00B0068C">
        <w:rPr>
          <w:lang w:val="en-US"/>
        </w:rPr>
        <w:t xml:space="preserve"> (QTOF-MS; Sciex)</w:t>
      </w:r>
    </w:p>
    <w:p w14:paraId="6F6DCF22" w14:textId="77A06E10" w:rsidR="00B0068C" w:rsidRPr="00B0068C" w:rsidRDefault="00B0068C" w:rsidP="00B0068C">
      <w:pPr>
        <w:pStyle w:val="Listenabsatz"/>
        <w:numPr>
          <w:ilvl w:val="0"/>
          <w:numId w:val="1"/>
        </w:numPr>
        <w:rPr>
          <w:lang w:val="en-US"/>
        </w:rPr>
      </w:pPr>
      <w:r w:rsidRPr="00B0068C">
        <w:rPr>
          <w:lang w:val="en-US"/>
        </w:rPr>
        <w:t>LC-MS/MS: Triple-Quadrupol-MS (QTRAP-MS; Sciex)</w:t>
      </w:r>
    </w:p>
    <w:p w14:paraId="62B04841" w14:textId="288180E7" w:rsidR="00B0068C" w:rsidRPr="00B0068C" w:rsidRDefault="00B0068C" w:rsidP="00B0068C">
      <w:pPr>
        <w:pStyle w:val="Listenabsatz"/>
        <w:numPr>
          <w:ilvl w:val="0"/>
          <w:numId w:val="1"/>
        </w:numPr>
        <w:rPr>
          <w:lang w:val="en-US"/>
        </w:rPr>
      </w:pPr>
      <w:r w:rsidRPr="00B0068C">
        <w:rPr>
          <w:lang w:val="en-US"/>
        </w:rPr>
        <w:t>HPLC-units for QTRAP &amp; QTOF (Agilent)</w:t>
      </w:r>
    </w:p>
    <w:p w14:paraId="1FD0DE06" w14:textId="77777777" w:rsidR="00B0068C" w:rsidRPr="00B0068C" w:rsidRDefault="00B0068C" w:rsidP="00B0068C">
      <w:pPr>
        <w:pStyle w:val="Listenabsatz"/>
        <w:numPr>
          <w:ilvl w:val="0"/>
          <w:numId w:val="1"/>
        </w:numPr>
        <w:rPr>
          <w:lang w:val="en-US"/>
        </w:rPr>
      </w:pPr>
      <w:r w:rsidRPr="00B0068C">
        <w:rPr>
          <w:lang w:val="en-US"/>
        </w:rPr>
        <w:t>GC-MS (Single-Quad-MS; Agilent)</w:t>
      </w:r>
    </w:p>
    <w:p w14:paraId="2AE2620D" w14:textId="77777777" w:rsidR="00B0068C" w:rsidRPr="00B0068C" w:rsidRDefault="00B0068C" w:rsidP="00B0068C">
      <w:pPr>
        <w:pStyle w:val="Listenabsatz"/>
        <w:numPr>
          <w:ilvl w:val="0"/>
          <w:numId w:val="1"/>
        </w:numPr>
        <w:rPr>
          <w:lang w:val="en-US"/>
        </w:rPr>
      </w:pPr>
      <w:r w:rsidRPr="00B0068C">
        <w:rPr>
          <w:lang w:val="en-US"/>
        </w:rPr>
        <w:t>GC-MS/MS (Triple-Quad-MS; Agilent)</w:t>
      </w:r>
    </w:p>
    <w:p w14:paraId="49D84658" w14:textId="77777777" w:rsidR="00B0068C" w:rsidRPr="008D6120" w:rsidRDefault="00B0068C" w:rsidP="00B0068C">
      <w:pPr>
        <w:pStyle w:val="Listenabsatz"/>
        <w:numPr>
          <w:ilvl w:val="0"/>
          <w:numId w:val="1"/>
        </w:numPr>
      </w:pPr>
      <w:r w:rsidRPr="008D6120">
        <w:t>Seahorse XFe96</w:t>
      </w:r>
    </w:p>
    <w:p w14:paraId="0395CA86" w14:textId="029CFC59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User Admission</w:t>
      </w:r>
    </w:p>
    <w:p w14:paraId="2487200B" w14:textId="77777777" w:rsidR="0007435C" w:rsidRPr="0007435C" w:rsidRDefault="0007435C" w:rsidP="0007435C">
      <w:pPr>
        <w:spacing w:after="0"/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Admission to use the Core Facility is granted by management.</w:t>
      </w:r>
    </w:p>
    <w:p w14:paraId="6EE503A9" w14:textId="77777777" w:rsidR="0007435C" w:rsidRPr="0007435C" w:rsidRDefault="0007435C" w:rsidP="0007435C">
      <w:pPr>
        <w:spacing w:after="0"/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Internal users (members of Philipps University Marburg and UKGM) have priority.</w:t>
      </w:r>
    </w:p>
    <w:p w14:paraId="62CA570A" w14:textId="77777777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External users may be admitted upon application, subject to available capacity.</w:t>
      </w:r>
    </w:p>
    <w:p w14:paraId="077A0329" w14:textId="77777777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Usage Models</w:t>
      </w:r>
    </w:p>
    <w:p w14:paraId="6ED7FE47" w14:textId="77777777" w:rsidR="0007435C" w:rsidRPr="0007435C" w:rsidRDefault="0007435C" w:rsidP="0007435C">
      <w:pPr>
        <w:pStyle w:val="Listenabsatz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Service operation: Samples are processed and measured by Core Facility staff.</w:t>
      </w:r>
    </w:p>
    <w:p w14:paraId="6F42E772" w14:textId="77777777" w:rsidR="0007435C" w:rsidRPr="0007435C" w:rsidRDefault="0007435C" w:rsidP="0007435C">
      <w:pPr>
        <w:pStyle w:val="Listenabsatz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Guided use: Users work under the guidance of specialized personnel.</w:t>
      </w:r>
    </w:p>
    <w:p w14:paraId="74B5F1C7" w14:textId="77777777" w:rsidR="0007435C" w:rsidRPr="0007435C" w:rsidRDefault="0007435C" w:rsidP="0007435C">
      <w:pPr>
        <w:pStyle w:val="Listenabsatz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Independent use: Qualified users can operate the equipment independently after instruction.</w:t>
      </w:r>
    </w:p>
    <w:p w14:paraId="030958C1" w14:textId="77777777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Laboratory Access for Independent Use</w:t>
      </w:r>
    </w:p>
    <w:p w14:paraId="189EA887" w14:textId="77777777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For independent use, transponder access to laboratories may be granted by management. Prerequisites include laboratory introduction and safety instruction.</w:t>
      </w:r>
    </w:p>
    <w:p w14:paraId="19B3F04E" w14:textId="77777777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Booking System and Prioritization</w:t>
      </w:r>
    </w:p>
    <w:p w14:paraId="27169FBA" w14:textId="77777777" w:rsidR="0007435C" w:rsidRPr="0007435C" w:rsidRDefault="0007435C" w:rsidP="0007435C">
      <w:pPr>
        <w:spacing w:after="0"/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Equipment use is either through Core Facility staff or an online booking system.</w:t>
      </w:r>
    </w:p>
    <w:p w14:paraId="29FA6FAC" w14:textId="77777777" w:rsidR="0007435C" w:rsidRPr="0007435C" w:rsidRDefault="0007435C" w:rsidP="0007435C">
      <w:pPr>
        <w:spacing w:after="0"/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In case of overbooking, management decides based on:</w:t>
      </w:r>
    </w:p>
    <w:p w14:paraId="079AEFCE" w14:textId="77777777" w:rsidR="0007435C" w:rsidRPr="0007435C" w:rsidRDefault="0007435C" w:rsidP="0007435C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Project urgency</w:t>
      </w:r>
    </w:p>
    <w:p w14:paraId="5DEE6EE7" w14:textId="77777777" w:rsidR="0007435C" w:rsidRPr="0007435C" w:rsidRDefault="0007435C" w:rsidP="0007435C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Equipment use efficiency</w:t>
      </w:r>
    </w:p>
    <w:p w14:paraId="1F216F2F" w14:textId="77777777" w:rsidR="0007435C" w:rsidRPr="0007435C" w:rsidRDefault="0007435C" w:rsidP="0007435C">
      <w:pPr>
        <w:pStyle w:val="Listenabsatz"/>
        <w:numPr>
          <w:ilvl w:val="0"/>
          <w:numId w:val="7"/>
        </w:num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Fairness to all users</w:t>
      </w:r>
    </w:p>
    <w:p w14:paraId="60B31AB1" w14:textId="77777777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User Obligations</w:t>
      </w:r>
    </w:p>
    <w:p w14:paraId="10094246" w14:textId="77777777" w:rsidR="00B0068C" w:rsidRPr="00B0068C" w:rsidRDefault="00B0068C" w:rsidP="00B0068C">
      <w:p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Users are obligated to:</w:t>
      </w:r>
    </w:p>
    <w:p w14:paraId="4E4031A6" w14:textId="77777777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Follow this usage policy and device-specific instructions</w:t>
      </w:r>
    </w:p>
    <w:p w14:paraId="0FBD8C51" w14:textId="77777777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Comply with CF staff instructions</w:t>
      </w:r>
    </w:p>
    <w:p w14:paraId="75BCBF30" w14:textId="77777777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Comprehensively inform CF staff about safety risks associated with the experimental material (especially pathogenic, infectious, toxic, or radioactive properties)</w:t>
      </w:r>
    </w:p>
    <w:p w14:paraId="64FF8461" w14:textId="77777777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Handle equipment with care</w:t>
      </w:r>
    </w:p>
    <w:p w14:paraId="39866577" w14:textId="77777777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Immediately report damages or malfunctions</w:t>
      </w:r>
    </w:p>
    <w:p w14:paraId="73EF531B" w14:textId="77777777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Participate in required safety briefings</w:t>
      </w:r>
    </w:p>
    <w:p w14:paraId="2D0E46B9" w14:textId="77777777" w:rsid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acknowledge the work of the CF in publications. For scientific input, include co-authorship with the correct designation of the CF.</w:t>
      </w:r>
    </w:p>
    <w:p w14:paraId="188CB600" w14:textId="4A90B8CC" w:rsidR="00B0068C" w:rsidRPr="00B0068C" w:rsidRDefault="00B0068C" w:rsidP="00B0068C">
      <w:pPr>
        <w:pStyle w:val="Listenabsatz"/>
        <w:numPr>
          <w:ilvl w:val="0"/>
          <w:numId w:val="10"/>
        </w:num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Promptly pay incurred costs for using the Core Facility upon invoice</w:t>
      </w:r>
    </w:p>
    <w:p w14:paraId="1F98A321" w14:textId="77777777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lastRenderedPageBreak/>
        <w:t>Cost Regulation</w:t>
      </w:r>
    </w:p>
    <w:p w14:paraId="1A72B59D" w14:textId="77777777" w:rsidR="00B0068C" w:rsidRPr="00B0068C" w:rsidRDefault="00B0068C" w:rsidP="00B0068C">
      <w:pPr>
        <w:spacing w:after="0"/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Usage fees are calculated according to DFG guidelines (Form 55.04).</w:t>
      </w:r>
    </w:p>
    <w:p w14:paraId="3DAE0D7F" w14:textId="77777777" w:rsidR="00B0068C" w:rsidRPr="00B0068C" w:rsidRDefault="00B0068C" w:rsidP="00B0068C">
      <w:pPr>
        <w:spacing w:after="0"/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A distinction is made between internal and external users.</w:t>
      </w:r>
    </w:p>
    <w:p w14:paraId="59488339" w14:textId="77777777" w:rsidR="00B0068C" w:rsidRPr="00B0068C" w:rsidRDefault="00B0068C" w:rsidP="00B0068C">
      <w:pPr>
        <w:spacing w:after="0"/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The current price list is available upon request and is regularly updated.</w:t>
      </w:r>
    </w:p>
    <w:p w14:paraId="4DDF037D" w14:textId="1EB49289" w:rsidR="00B0068C" w:rsidRDefault="00B0068C" w:rsidP="00B0068C">
      <w:p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Generally, a rate of 40 euros per hour applies for mass spectrometric measurements. Costs are determined based on the target analyte and methodology, which are available upon request for individual methods.</w:t>
      </w:r>
    </w:p>
    <w:p w14:paraId="1066629F" w14:textId="3B0A2BA2" w:rsidR="006E3B6D" w:rsidRPr="00B0068C" w:rsidRDefault="006E3B6D" w:rsidP="00B0068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Additionally required materials, such as standards for individual method development, are billed to the user.</w:t>
      </w:r>
    </w:p>
    <w:p w14:paraId="520ABAE7" w14:textId="77777777" w:rsidR="00B0068C" w:rsidRDefault="00B0068C" w:rsidP="00B0068C">
      <w:pPr>
        <w:jc w:val="both"/>
        <w:rPr>
          <w:sz w:val="24"/>
          <w:szCs w:val="24"/>
          <w:lang w:val="en-US"/>
        </w:rPr>
      </w:pPr>
      <w:r w:rsidRPr="00B0068C">
        <w:rPr>
          <w:sz w:val="24"/>
          <w:szCs w:val="24"/>
          <w:lang w:val="en-US"/>
        </w:rPr>
        <w:t>For Seahorse measurements, a flat rate of 50 euros per measurement or measurement day is charged.</w:t>
      </w:r>
    </w:p>
    <w:p w14:paraId="64EEBF6A" w14:textId="2C3A4235" w:rsidR="0007435C" w:rsidRPr="0007435C" w:rsidRDefault="0007435C" w:rsidP="00B0068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Data Storage and Management</w:t>
      </w:r>
    </w:p>
    <w:p w14:paraId="36324470" w14:textId="77777777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Raw data is stored on Core Facility servers for a specified period (1 year). Users are responsible for raw data at all times and for long-term archiving of their data.</w:t>
      </w:r>
    </w:p>
    <w:p w14:paraId="0AD82153" w14:textId="088A3319" w:rsidR="006E3B6D" w:rsidRDefault="006E3B6D" w:rsidP="0007435C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Publications</w:t>
      </w:r>
    </w:p>
    <w:p w14:paraId="38D70240" w14:textId="530D0665" w:rsidR="006E3B6D" w:rsidRPr="006E3B6D" w:rsidRDefault="006E3B6D" w:rsidP="0007435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Due to the scientific input of the Core Facility, member(s) of the Core Facility are to be named as co-authors in publications. </w:t>
      </w:r>
    </w:p>
    <w:p w14:paraId="41784AFD" w14:textId="4BD3790F" w:rsidR="0007435C" w:rsidRPr="0007435C" w:rsidRDefault="0007435C" w:rsidP="0007435C">
      <w:pPr>
        <w:jc w:val="both"/>
        <w:rPr>
          <w:b/>
          <w:bCs/>
          <w:sz w:val="24"/>
          <w:szCs w:val="24"/>
          <w:lang w:val="en-US"/>
        </w:rPr>
      </w:pPr>
      <w:r w:rsidRPr="0007435C">
        <w:rPr>
          <w:b/>
          <w:bCs/>
          <w:sz w:val="24"/>
          <w:szCs w:val="24"/>
          <w:lang w:val="en-US"/>
        </w:rPr>
        <w:t>Liability</w:t>
      </w:r>
    </w:p>
    <w:p w14:paraId="3EE19EA2" w14:textId="77777777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Liability is governed by statutory provisions. Users are liable for damages caused by improper operation.</w:t>
      </w:r>
    </w:p>
    <w:p w14:paraId="708F74B5" w14:textId="77777777" w:rsidR="0007435C" w:rsidRPr="0007435C" w:rsidRDefault="0007435C" w:rsidP="0007435C">
      <w:pPr>
        <w:jc w:val="both"/>
        <w:rPr>
          <w:sz w:val="24"/>
          <w:szCs w:val="24"/>
          <w:lang w:val="en-US"/>
        </w:rPr>
      </w:pPr>
      <w:r w:rsidRPr="0007435C">
        <w:rPr>
          <w:sz w:val="24"/>
          <w:szCs w:val="24"/>
          <w:lang w:val="en-US"/>
        </w:rPr>
        <w:t>These usage regulations come into effect on March 10, 2025, and replace all previous versions.</w:t>
      </w:r>
    </w:p>
    <w:p w14:paraId="30AE30C4" w14:textId="25918A06" w:rsidR="00B0068C" w:rsidRDefault="00B0068C" w:rsidP="0007435C">
      <w:pPr>
        <w:jc w:val="both"/>
        <w:rPr>
          <w:sz w:val="24"/>
          <w:szCs w:val="24"/>
          <w:lang w:val="en-US"/>
        </w:rPr>
      </w:pPr>
    </w:p>
    <w:p w14:paraId="5B68D235" w14:textId="5FD86197" w:rsidR="00B0068C" w:rsidRPr="006E3B6D" w:rsidRDefault="00B0068C" w:rsidP="0007435C">
      <w:pPr>
        <w:jc w:val="both"/>
        <w:rPr>
          <w:sz w:val="24"/>
          <w:szCs w:val="24"/>
        </w:rPr>
      </w:pPr>
      <w:r w:rsidRPr="006E3B6D">
        <w:rPr>
          <w:sz w:val="24"/>
          <w:szCs w:val="24"/>
        </w:rPr>
        <w:t xml:space="preserve">Marburg, </w:t>
      </w:r>
    </w:p>
    <w:p w14:paraId="53E4332E" w14:textId="748C5342" w:rsidR="00B0068C" w:rsidRPr="006E3B6D" w:rsidRDefault="00B0068C" w:rsidP="0007435C">
      <w:pPr>
        <w:jc w:val="both"/>
        <w:rPr>
          <w:sz w:val="24"/>
          <w:szCs w:val="24"/>
        </w:rPr>
      </w:pPr>
    </w:p>
    <w:p w14:paraId="46630C3A" w14:textId="60D8F3A5" w:rsidR="00B0068C" w:rsidRPr="006E3B6D" w:rsidRDefault="00B0068C" w:rsidP="0007435C">
      <w:pPr>
        <w:jc w:val="both"/>
        <w:rPr>
          <w:sz w:val="24"/>
          <w:szCs w:val="24"/>
        </w:rPr>
      </w:pPr>
    </w:p>
    <w:p w14:paraId="7E07F454" w14:textId="4D147330" w:rsidR="00B0068C" w:rsidRPr="006E3B6D" w:rsidRDefault="00B0068C" w:rsidP="0007435C">
      <w:pPr>
        <w:jc w:val="both"/>
        <w:rPr>
          <w:sz w:val="24"/>
          <w:szCs w:val="24"/>
        </w:rPr>
      </w:pP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  <w:t xml:space="preserve">____________________________ </w:t>
      </w:r>
    </w:p>
    <w:p w14:paraId="2493D906" w14:textId="6A274F0E" w:rsidR="00B0068C" w:rsidRPr="006E3B6D" w:rsidRDefault="00B0068C" w:rsidP="0007435C">
      <w:pPr>
        <w:jc w:val="both"/>
        <w:rPr>
          <w:sz w:val="24"/>
          <w:szCs w:val="24"/>
        </w:rPr>
      </w:pP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  <w:t>Name in block letters</w:t>
      </w:r>
    </w:p>
    <w:p w14:paraId="0110ABA0" w14:textId="7794BCF0" w:rsidR="00B0068C" w:rsidRPr="006E3B6D" w:rsidRDefault="00B0068C" w:rsidP="0007435C">
      <w:pPr>
        <w:jc w:val="both"/>
        <w:rPr>
          <w:sz w:val="24"/>
          <w:szCs w:val="24"/>
        </w:rPr>
      </w:pPr>
    </w:p>
    <w:p w14:paraId="174B9C30" w14:textId="4AB3975B" w:rsidR="00B0068C" w:rsidRPr="006E3B6D" w:rsidRDefault="00B0068C" w:rsidP="0007435C">
      <w:pPr>
        <w:jc w:val="both"/>
        <w:rPr>
          <w:sz w:val="24"/>
          <w:szCs w:val="24"/>
        </w:rPr>
      </w:pPr>
    </w:p>
    <w:p w14:paraId="66C2678E" w14:textId="20BAC23D" w:rsidR="00B0068C" w:rsidRPr="006E3B6D" w:rsidRDefault="00B0068C" w:rsidP="0007435C">
      <w:pPr>
        <w:jc w:val="both"/>
        <w:rPr>
          <w:sz w:val="24"/>
          <w:szCs w:val="24"/>
        </w:rPr>
      </w:pPr>
      <w:r w:rsidRPr="006E3B6D">
        <w:rPr>
          <w:sz w:val="24"/>
          <w:szCs w:val="24"/>
        </w:rPr>
        <w:t>_________________________</w:t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</w:r>
      <w:r w:rsidRPr="006E3B6D">
        <w:rPr>
          <w:sz w:val="24"/>
          <w:szCs w:val="24"/>
        </w:rPr>
        <w:tab/>
        <w:t xml:space="preserve">____________________________ </w:t>
      </w:r>
    </w:p>
    <w:p w14:paraId="37BA7334" w14:textId="234F48C4" w:rsidR="00B0068C" w:rsidRDefault="00B0068C" w:rsidP="0007435C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Date, Signature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Date, Signature</w:t>
      </w:r>
    </w:p>
    <w:p w14:paraId="33A748C4" w14:textId="339F5E92" w:rsidR="00B0068C" w:rsidRDefault="00B0068C" w:rsidP="0007435C">
      <w:pPr>
        <w:jc w:val="both"/>
        <w:rPr>
          <w:sz w:val="24"/>
          <w:szCs w:val="24"/>
          <w:lang w:val="en-US"/>
        </w:rPr>
      </w:pPr>
    </w:p>
    <w:p w14:paraId="03FBD8F1" w14:textId="7E510074" w:rsidR="00B0068C" w:rsidRPr="0007435C" w:rsidRDefault="00B0068C" w:rsidP="0007435C">
      <w:pPr>
        <w:jc w:val="both"/>
        <w:rPr>
          <w:sz w:val="24"/>
          <w:szCs w:val="24"/>
          <w:lang w:val="en-US"/>
        </w:rPr>
      </w:pPr>
      <w:r w:rsidRPr="00B0068C">
        <w:rPr>
          <w:b/>
          <w:bCs/>
          <w:sz w:val="24"/>
          <w:szCs w:val="24"/>
          <w:lang w:val="en-US"/>
        </w:rPr>
        <w:t>Core Facility Management</w:t>
      </w:r>
      <w:r w:rsidRPr="00B0068C"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B0068C">
        <w:rPr>
          <w:b/>
          <w:bCs/>
          <w:sz w:val="24"/>
          <w:szCs w:val="24"/>
          <w:lang w:val="en-US"/>
        </w:rPr>
        <w:tab/>
        <w:t>User</w:t>
      </w:r>
    </w:p>
    <w:sectPr w:rsidR="00B0068C" w:rsidRPr="0007435C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205F" w14:textId="77777777" w:rsidR="00A44A10" w:rsidRDefault="00A44A10" w:rsidP="00C415C4">
      <w:pPr>
        <w:spacing w:after="0" w:line="240" w:lineRule="auto"/>
      </w:pPr>
      <w:r>
        <w:separator/>
      </w:r>
    </w:p>
  </w:endnote>
  <w:endnote w:type="continuationSeparator" w:id="0">
    <w:p w14:paraId="7F323367" w14:textId="77777777" w:rsidR="00A44A10" w:rsidRDefault="00A44A10" w:rsidP="00C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0FED" w14:textId="77777777" w:rsidR="00A44A10" w:rsidRDefault="00A44A10" w:rsidP="00C415C4">
      <w:pPr>
        <w:spacing w:after="0" w:line="240" w:lineRule="auto"/>
      </w:pPr>
      <w:r>
        <w:separator/>
      </w:r>
    </w:p>
  </w:footnote>
  <w:footnote w:type="continuationSeparator" w:id="0">
    <w:p w14:paraId="2F9517C1" w14:textId="77777777" w:rsidR="00A44A10" w:rsidRDefault="00A44A10" w:rsidP="00C4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7CD" w14:textId="3A8BD0FD" w:rsidR="00C415C4" w:rsidRDefault="00C415C4">
    <w:pPr>
      <w:pStyle w:val="Kopfzeile"/>
    </w:pPr>
    <w:r>
      <w:t>version 1</w:t>
    </w:r>
    <w:r>
      <w:tab/>
    </w:r>
    <w:r>
      <w:tab/>
      <w:t>author: RVT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24A"/>
    <w:multiLevelType w:val="hybridMultilevel"/>
    <w:tmpl w:val="B41AF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E168E"/>
    <w:multiLevelType w:val="hybridMultilevel"/>
    <w:tmpl w:val="D122C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7B28"/>
    <w:multiLevelType w:val="hybridMultilevel"/>
    <w:tmpl w:val="DFCE9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20C1"/>
    <w:multiLevelType w:val="hybridMultilevel"/>
    <w:tmpl w:val="8E3AC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0755"/>
    <w:multiLevelType w:val="hybridMultilevel"/>
    <w:tmpl w:val="E6840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A22D9"/>
    <w:multiLevelType w:val="hybridMultilevel"/>
    <w:tmpl w:val="446AF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E68DE"/>
    <w:multiLevelType w:val="hybridMultilevel"/>
    <w:tmpl w:val="D64CB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3F7D"/>
    <w:multiLevelType w:val="hybridMultilevel"/>
    <w:tmpl w:val="CCA6B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36246"/>
    <w:multiLevelType w:val="hybridMultilevel"/>
    <w:tmpl w:val="AC280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B1279"/>
    <w:multiLevelType w:val="hybridMultilevel"/>
    <w:tmpl w:val="9DE4C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CC"/>
    <w:rsid w:val="0006134B"/>
    <w:rsid w:val="0007435C"/>
    <w:rsid w:val="0022072A"/>
    <w:rsid w:val="006E3B6D"/>
    <w:rsid w:val="007C28CC"/>
    <w:rsid w:val="008B069F"/>
    <w:rsid w:val="00A44A10"/>
    <w:rsid w:val="00AE7EF3"/>
    <w:rsid w:val="00B0068C"/>
    <w:rsid w:val="00C415C4"/>
    <w:rsid w:val="00C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5612"/>
  <w15:chartTrackingRefBased/>
  <w15:docId w15:val="{DF4856EB-A6D5-448B-9A31-E4EDC57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8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5C4"/>
  </w:style>
  <w:style w:type="paragraph" w:styleId="Fuzeile">
    <w:name w:val="footer"/>
    <w:basedOn w:val="Standard"/>
    <w:link w:val="FuzeileZchn"/>
    <w:uiPriority w:val="99"/>
    <w:unhideWhenUsed/>
    <w:rsid w:val="00C4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5C4"/>
  </w:style>
  <w:style w:type="table" w:styleId="Tabellenraster">
    <w:name w:val="Table Grid"/>
    <w:basedOn w:val="NormaleTabelle"/>
    <w:uiPriority w:val="39"/>
    <w:rsid w:val="00B0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0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5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4994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5637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946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5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65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756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468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41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1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4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02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89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4349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32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8973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49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37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dwigle@uni-marb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erle.horrelt@uni-marbur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sek@staff.uni-marbur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ockher@staff.uni-marbur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ena.taudte@uni-marburg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Taudte</dc:creator>
  <cp:keywords/>
  <dc:description/>
  <cp:lastModifiedBy>Regina Taudte</cp:lastModifiedBy>
  <cp:revision>5</cp:revision>
  <dcterms:created xsi:type="dcterms:W3CDTF">2025-03-14T11:46:00Z</dcterms:created>
  <dcterms:modified xsi:type="dcterms:W3CDTF">2025-03-18T12:09:00Z</dcterms:modified>
</cp:coreProperties>
</file>